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kIv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  <m:r>
              <m:rPr>
                <m:sty m:val="p"/>
              </m:rPr>
              <w:rPr>
                <w:rFonts w:ascii="Times New Roman" w:eastAsia="宋体"/>
              </w:rPr>
              <m:t>sin37°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kIv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w:rPr>
                    <w:rFonts w:ascii="Times New Roman" w:eastAsia="宋体"/>
                  </w:rPr>
                  <m:t>aa'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kIv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