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Times New Roman" w:eastAsia="宋体"/>
              </w:rPr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ad>
                  <m:radPr>
                    <m:degHide m:val="1"/>
                  </m:radPr>
                  <m:e/>
                </m:rad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Times New Roman" w:eastAsia="宋体"/>
              </w:rPr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