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62911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911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出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2 200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0264" cy="731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220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