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并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L</m:t>
                </m:r>
              </m:sub>
            </m:s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等</w:t>
      </w:r>
      <w:r>
        <w:rPr>
          <w:rFonts w:ascii="Times New Roman" w:hAnsi="Times New Roman" w:eastAsia="宋体"/>
          <w:b w:val="0"/>
          <w:vertAlign w:val="subscript"/>
        </w:rPr>
        <w:t>效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并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等效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220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60+40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等</w:t>
      </w:r>
      <w:r>
        <w:rPr>
          <w:rFonts w:ascii="Times New Roman" w:hAnsi="Times New Roman" w:eastAsia="宋体"/>
          <w:b w:val="0"/>
          <w:vertAlign w:val="subscript"/>
        </w:rPr>
        <w:t>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等</w:t>
      </w:r>
      <w:r>
        <w:rPr>
          <w:rFonts w:ascii="Times New Roman" w:hAnsi="Times New Roman" w:eastAsia="宋体"/>
          <w:b w:val="0"/>
          <w:vertAlign w:val="subscript"/>
        </w:rPr>
        <w:t>效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并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