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media/image3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A2023223Z1L3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基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num>
          <m:den>
            <m:r>
              <w:rPr>
                <w:rFonts w:ascii="Times New Roman" w:eastAsia="宋体"/>
              </w:rPr>
              <m:t>I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  <m:r>
              <w:rPr>
                <w:rFonts w:ascii="Times New Roman" w:eastAsia="宋体"/>
              </w:rPr>
              <m:t>'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  <m:r>
              <w:rPr>
                <w:rFonts w:ascii="Times New Roman" w:eastAsia="宋体"/>
              </w:rPr>
              <m:t>'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  <m:r>
              <w:rPr>
                <w:rFonts w:ascii="Times New Roman" w:eastAsia="宋体"/>
              </w:rPr>
              <m:t>'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r>
              <w:rPr>
                <w:rFonts w:ascii="Times New Roman" w:eastAsia="宋体"/>
              </w:rPr>
              <m:t>I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，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7437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7437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R'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18388" cy="108508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8388" cy="10850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</w:rPr>
        <w:t>″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</w:rPr>
        <w:t>″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法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含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载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等</w:t>
      </w:r>
      <w:r>
        <w:rPr>
          <w:rFonts w:ascii="Times New Roman" w:hAnsi="Times New Roman" w:eastAsia="宋体"/>
          <w:b w:val="0"/>
          <w:vertAlign w:val="subscript"/>
        </w:rPr>
        <w:t>效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sSub>
                  <m:sSubPr/>
                  <m:e/>
                  <m:sub/>
                </m:sSub>
              </m:num>
              <m:den>
                <m:sSub>
                  <m:sSubPr/>
                  <m:e/>
                  <m:sub/>
                </m:sSub>
              </m:den>
            </m:f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num>
          <m:den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sSub>
                  <m:sSubPr/>
                  <m:e/>
                  <m:sub/>
                </m:sSub>
              </m:num>
              <m:den>
                <m:sSub>
                  <m:sSubPr/>
                  <m:e/>
                  <m:sub/>
                </m:sSub>
              </m:den>
            </m:f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33271" cy="609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3271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