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250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1012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012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400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用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用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4 750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190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