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w:rPr>
                <w:rFonts w:ascii="Times New Roman" w:eastAsia="宋体"/>
              </w:rPr>
              <m:t>LC</m:t>
            </m:r>
          </m:e>
        </m:rad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π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w:rPr>
                <w:rFonts w:ascii="Times New Roman" w:eastAsia="宋体"/>
              </w:rPr>
              <m:t>LC</m:t>
            </m:r>
          </m:e>
        </m:rad>
      </m:oMath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</m:num>
          <m:den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I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C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num>
          <m:den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Times New Roman" w:eastAsia="宋体"/>
              </w:rPr>
              <m:t>π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w:rPr>
                    <w:rFonts w:ascii="Times New Roman" w:eastAsia="宋体"/>
                  </w:rPr>
                  <m:t>LC</m:t>
                </m:r>
              </m:e>
            </m:rad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den>
        </m:f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C</m:t>
                </m:r>
              </m:num>
              <m:den>
                <m:r>
                  <w:rPr>
                    <w:rFonts w:ascii="Times New Roman" w:eastAsia="宋体"/>
                  </w:rPr>
                  <m:t>L</m:t>
                </m:r>
              </m:den>
            </m:f>
          </m:e>
        </m:rad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