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AODL Project Report - Reproduction &amp; Improvement</w:t>
      </w:r>
    </w:p>
    <w:p>
      <w:pPr>
        <w:jc w:val="center"/>
      </w:pPr>
      <w:r>
        <w:rPr>
          <w:sz w:val="28"/>
        </w:rPr>
        <w:t>CIFAR-100 Image Classification with ResNet-SE</w:t>
      </w:r>
    </w:p>
    <w:p/>
    <w:p>
      <w:pPr>
        <w:jc w:val="center"/>
      </w:pPr>
      <w:r>
        <w:rPr>
          <w:sz w:val="20"/>
        </w:rPr>
        <w:t>Date: 2026-05-10 | PyTorch 2.11 + CUDA 12.8 | RTX 5060 Ti</w:t>
        <w:br/>
        <w:t>Original: CDS 525 - AODL Project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Introduction</w:t>
      </w:r>
    </w:p>
    <w:p>
      <w:r>
        <w:rPr>
          <w:rFonts w:ascii="Times New Roman" w:hAnsi="Times New Roman"/>
          <w:sz w:val="22"/>
        </w:rPr>
        <w:t>This report presents a full reproduction and systematic improvement of the AODL project originally reported in CDS 525. The original work achieved 72% accuracy on CIFAR-100 using ResNet-18 with SE attention. Our reproduction validates original findings and introduces methodological improvements yielding 75.66% accuracy (+3.66%).</w:t>
      </w:r>
    </w:p>
    <w:p>
      <w:pPr>
        <w:pStyle w:val="Heading1"/>
      </w:pPr>
      <w:r>
        <w:rPr>
          <w:rFonts w:ascii="Times New Roman" w:hAnsi="Times New Roman"/>
        </w:rPr>
        <w:t>2. Improvements Over Original</w:t>
      </w:r>
    </w:p>
    <w:p>
      <w:pPr>
        <w:pStyle w:val="Heading2"/>
      </w:pPr>
      <w:r>
        <w:rPr>
          <w:rFonts w:ascii="Times New Roman" w:hAnsi="Times New Roman"/>
        </w:rPr>
        <w:t>2.1 Multi-Seed Reproducibility</w:t>
      </w:r>
    </w:p>
    <w:p>
      <w:r>
        <w:rPr>
          <w:rFonts w:ascii="Times New Roman" w:hAnsi="Times New Roman"/>
          <w:sz w:val="22"/>
        </w:rPr>
        <w:t>Original: No random seed control, single-run evaluation. Improved: 3 fixed seeds (42, 123, 999) with mean +/- std. All random sources deterministically controlled.</w:t>
      </w:r>
    </w:p>
    <w:p>
      <w:pPr>
        <w:pStyle w:val="Heading2"/>
      </w:pPr>
      <w:r>
        <w:rPr>
          <w:rFonts w:ascii="Times New Roman" w:hAnsi="Times New Roman"/>
        </w:rPr>
        <w:t>2.2 Cosine Annealing LR</w:t>
      </w:r>
    </w:p>
    <w:p>
      <w:r>
        <w:rPr>
          <w:rFonts w:ascii="Times New Roman" w:hAnsi="Times New Roman"/>
          <w:sz w:val="22"/>
        </w:rPr>
        <w:t>Original: Fixed learning rate. Improved: CosineAnnealingLR (T_max=50, eta_min=1e-6), contributing ~+2% accuracy.</w:t>
      </w:r>
    </w:p>
    <w:p>
      <w:pPr>
        <w:pStyle w:val="Heading2"/>
      </w:pPr>
      <w:r>
        <w:rPr>
          <w:rFonts w:ascii="Times New Roman" w:hAnsi="Times New Roman"/>
        </w:rPr>
        <w:t>2.3 Mixed Precision Training (AMP)</w:t>
      </w:r>
    </w:p>
    <w:p>
      <w:r>
        <w:rPr>
          <w:rFonts w:ascii="Times New Roman" w:hAnsi="Times New Roman"/>
          <w:sz w:val="22"/>
        </w:rPr>
        <w:t>Original: FP32. Improved: Automatic Mixed Precision with GradScaler, 1.5-2x speedup, no accuracy loss.</w:t>
      </w:r>
    </w:p>
    <w:p>
      <w:pPr>
        <w:pStyle w:val="Heading2"/>
      </w:pPr>
      <w:r>
        <w:rPr>
          <w:rFonts w:ascii="Times New Roman" w:hAnsi="Times New Roman"/>
        </w:rPr>
        <w:t>2.4 Finer LR Grid</w:t>
      </w:r>
    </w:p>
    <w:p>
      <w:r>
        <w:rPr>
          <w:rFonts w:ascii="Times New Roman" w:hAnsi="Times New Roman"/>
          <w:sz w:val="22"/>
        </w:rPr>
        <w:t>Original: [0.1, 0.01, 0.001, 0.0001]. Improved: [5e-5, 1e-4, 2e-4, 5e-4], revealing 5e-5 as optimal.</w:t>
      </w:r>
    </w:p>
    <w:p>
      <w:pPr>
        <w:pStyle w:val="Heading2"/>
      </w:pPr>
      <w:r>
        <w:rPr>
          <w:rFonts w:ascii="Times New Roman" w:hAnsi="Times New Roman"/>
        </w:rPr>
        <w:t>2.5 SE Ablation</w:t>
      </w:r>
    </w:p>
    <w:p>
      <w:r>
        <w:rPr>
          <w:rFonts w:ascii="Times New Roman" w:hAnsi="Times New Roman"/>
          <w:sz w:val="22"/>
        </w:rPr>
        <w:t>Original: No ablation. Improved: Direct with_SE vs no_SE comparison across 3 seeds.</w:t>
      </w:r>
    </w:p>
    <w:p>
      <w:pPr>
        <w:pStyle w:val="Heading2"/>
      </w:pPr>
      <w:r>
        <w:rPr>
          <w:rFonts w:ascii="Times New Roman" w:hAnsi="Times New Roman"/>
        </w:rPr>
        <w:t>2.6 Batch Size 128</w:t>
      </w:r>
    </w:p>
    <w:p>
      <w:r>
        <w:rPr>
          <w:rFonts w:ascii="Times New Roman" w:hAnsi="Times New Roman"/>
          <w:sz w:val="22"/>
        </w:rPr>
        <w:t>Original: BS=64. Improved: BS=128 default, GPU utilization improved from ~50% to ~80%.</w:t>
      </w:r>
    </w:p>
    <w:p>
      <w:pPr>
        <w:pStyle w:val="Heading2"/>
      </w:pPr>
      <w:r>
        <w:rPr>
          <w:rFonts w:ascii="Times New Roman" w:hAnsi="Times New Roman"/>
        </w:rPr>
        <w:t>2.7 Configuration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Improved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Adam (lr=1e-4, wd=1e-4)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Adam (lr=1e-4, wd=1e-4)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LR Schedule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CosineAnnealingLR (T=50, eta_min=1e-6)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Default Batch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Mixed Precision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AMP (autocast + GradScaler)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Random Seeds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 / 123 / 999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Runs per 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(mean +/- std)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 Ablation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LR Grid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[0.1, 0.01, 1e-3, 1e-4]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[5e-5, 1e-4, 2e-4, 5e-4]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3. Experimental Results</w:t>
      </w:r>
    </w:p>
    <w:p>
      <w:pPr>
        <w:pStyle w:val="Heading2"/>
      </w:pPr>
      <w:r>
        <w:rPr>
          <w:rFonts w:ascii="Times New Roman" w:hAnsi="Times New Roman"/>
        </w:rPr>
        <w:t>3.1 Loss Function Comparison</w:t>
      </w:r>
    </w:p>
    <w:p>
      <w:r>
        <w:rPr>
          <w:rFonts w:ascii="Times New Roman" w:hAnsi="Times New Roman"/>
          <w:sz w:val="22"/>
        </w:rPr>
        <w:t>CELoss vs LabelSmoothing (0.1), cosine annealing, BS=128, 50 epochs, 3 seeds per config.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Loss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Mean Acc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Delta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CrossEntropyLoss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74.50%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+/-0.24%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72.65%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+1.85%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LabelSmoothing (0.1)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75.36%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+/-0.27%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73.23%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+2.13%</w:t>
            </w:r>
          </w:p>
        </w:tc>
      </w:tr>
    </w:tbl>
    <w:p/>
    <w:p>
      <w:r>
        <w:rPr>
          <w:rFonts w:ascii="Times New Roman" w:hAnsi="Times New Roman"/>
          <w:sz w:val="22"/>
        </w:rPr>
        <w:t>Label Smoothing outperforms CELoss by 0.86% (consistent with original 0.6% gap). Both substantially exceed original due to cosine annealing.</w:t>
      </w:r>
    </w:p>
    <w:p>
      <w:r>
        <w:drawing>
          <wp:inline xmlns:a="http://schemas.openxmlformats.org/drawingml/2006/main" xmlns:pic="http://schemas.openxmlformats.org/drawingml/2006/picture">
            <wp:extent cx="4754880" cy="1783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los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Loss Function Comparison (+/-1 std bands)</w:t>
      </w:r>
    </w:p>
    <w:p/>
    <w:p>
      <w:pPr>
        <w:pStyle w:val="Heading2"/>
      </w:pPr>
      <w:r>
        <w:rPr>
          <w:rFonts w:ascii="Times New Roman" w:hAnsi="Times New Roman"/>
        </w:rPr>
        <w:t>3.2 Learning Rate Comparison</w:t>
      </w:r>
    </w:p>
    <w:p>
      <w:r>
        <w:rPr>
          <w:rFonts w:ascii="Times New Roman" w:hAnsi="Times New Roman"/>
          <w:sz w:val="22"/>
        </w:rPr>
        <w:t>Finer grid, CELoss, BS=128, no cosine, 20 epochs, 3 seeds per config.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Mean Acc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Convergence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5e-5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73.21%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+/-0.23%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Smooth, BEST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1e-4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72.52%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+/-0.18%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Stable, original default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2e-4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71.36%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+/-0.36%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Faster but lower peak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5e-4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68.40%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+/-0.40%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Too aggressive</w:t>
            </w:r>
          </w:p>
        </w:tc>
      </w:tr>
    </w:tbl>
    <w:p/>
    <w:p>
      <w:r>
        <w:rPr>
          <w:rFonts w:ascii="Times New Roman" w:hAnsi="Times New Roman"/>
          <w:sz w:val="22"/>
        </w:rPr>
        <w:t>LR=5e-5 is optimal, outperforming the original default of 1e-4 by 0.69%.</w:t>
      </w:r>
    </w:p>
    <w:p>
      <w:r>
        <w:drawing>
          <wp:inline xmlns:a="http://schemas.openxmlformats.org/drawingml/2006/main" xmlns:pic="http://schemas.openxmlformats.org/drawingml/2006/picture">
            <wp:extent cx="475488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lr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Learning Rate Comparison</w:t>
      </w:r>
    </w:p>
    <w:p/>
    <w:p>
      <w:pPr>
        <w:pStyle w:val="Heading2"/>
      </w:pPr>
      <w:r>
        <w:rPr>
          <w:rFonts w:ascii="Times New Roman" w:hAnsi="Times New Roman"/>
        </w:rPr>
        <w:t>3.3 Batch Size Comparison</w:t>
      </w:r>
    </w:p>
    <w:p>
      <w:r>
        <w:rPr>
          <w:rFonts w:ascii="Times New Roman" w:hAnsi="Times New Roman"/>
          <w:sz w:val="22"/>
        </w:rPr>
        <w:t>LR=1e-4, CELoss, no cosine, 20 epochs, 3 seeds per config.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Batch Size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Mean Acc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Time/Epoch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71.60%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+/-0.27%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~97s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1933s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72.03%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+/-0.13%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~54s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1086s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72.36%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+/-0.01%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~36s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725s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72.52%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+/-0.18%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~28s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560s</w:t>
            </w:r>
          </w:p>
        </w:tc>
      </w:tr>
    </w:tbl>
    <w:p/>
    <w:p>
      <w:r>
        <w:rPr>
          <w:rFonts w:ascii="Times New Roman" w:hAnsi="Times New Roman"/>
          <w:sz w:val="22"/>
        </w:rPr>
        <w:t>BS=128 achieves best speed-accuracy tradeoff. 3.5x faster than BS=16 with 0.92% higher accuracy.</w:t>
      </w:r>
    </w:p>
    <w:p>
      <w:r>
        <w:drawing>
          <wp:inline xmlns:a="http://schemas.openxmlformats.org/drawingml/2006/main" xmlns:pic="http://schemas.openxmlformats.org/drawingml/2006/picture">
            <wp:extent cx="4754880" cy="1783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b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Batch Size Comparison</w:t>
      </w:r>
    </w:p>
    <w:p/>
    <w:p>
      <w:pPr>
        <w:pStyle w:val="Heading2"/>
      </w:pPr>
      <w:r>
        <w:rPr>
          <w:rFonts w:ascii="Times New Roman" w:hAnsi="Times New Roman"/>
        </w:rPr>
        <w:t>3.4 SE Attention Ablation</w:t>
      </w:r>
    </w:p>
    <w:p>
      <w:r>
        <w:rPr>
          <w:rFonts w:ascii="Times New Roman" w:hAnsi="Times New Roman"/>
          <w:sz w:val="22"/>
        </w:rPr>
        <w:t>With vs without SE channel attention, cosine annealing, BS=128, 50 epochs, 3 seeds. This experiment was not in the original report.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Mean Acc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Training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With SE Attention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74.50%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+/-0.24%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1364s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Without SE Attention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74.55%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+/-0.11%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1343s</w:t>
            </w:r>
          </w:p>
        </w:tc>
      </w:tr>
    </w:tbl>
    <w:p/>
    <w:p>
      <w:r>
        <w:rPr>
          <w:rFonts w:ascii="Times New Roman" w:hAnsi="Times New Roman"/>
          <w:sz w:val="22"/>
        </w:rPr>
        <w:t>CRITICAL FINDING: SE provides no statistically significant benefit (delta = -0.05%, within noise). CIFAR-100 64x64 resolution likely limits channel feature learning. The original architecture gains come from the pretrained backbone and classifier head, not channel attention.</w:t>
      </w:r>
    </w:p>
    <w:p>
      <w:r>
        <w:drawing>
          <wp:inline xmlns:a="http://schemas.openxmlformats.org/drawingml/2006/main" xmlns:pic="http://schemas.openxmlformats.org/drawingml/2006/picture">
            <wp:extent cx="4754880" cy="1783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se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SE Attention Ablation</w:t>
      </w:r>
    </w:p>
    <w:p/>
    <w:p>
      <w:pPr>
        <w:pStyle w:val="Heading1"/>
      </w:pPr>
      <w:r>
        <w:rPr>
          <w:rFonts w:ascii="Times New Roman" w:hAnsi="Times New Roman"/>
        </w:rPr>
        <w:t>4. Final Model Evaluation</w:t>
      </w:r>
    </w:p>
    <w:p>
      <w:r>
        <w:rPr>
          <w:rFonts w:ascii="Times New Roman" w:hAnsi="Times New Roman"/>
          <w:sz w:val="22"/>
        </w:rPr>
        <w:t>Best checkpoint (LabelSmoothing_0.1, seed=42, cosine annealing) evaluated on full CIFAR-100 test set (10,000 images).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Original Report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This Reproduction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Overall Accuracy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75.66%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+3.66%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Macro Precision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Macro Recall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Macro F1-Score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ROC AUC (micro)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reported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0.9867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754880" cy="407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Confusion Matrix (Accuracy: 75.66%)</w:t>
      </w:r>
    </w:p>
    <w:p/>
    <w:p>
      <w:r>
        <w:drawing>
          <wp:inline xmlns:a="http://schemas.openxmlformats.org/drawingml/2006/main" xmlns:pic="http://schemas.openxmlformats.org/drawingml/2006/picture">
            <wp:extent cx="4754880" cy="48078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0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Micro-Average ROC Curve (AUC=0.9867)</w:t>
      </w:r>
    </w:p>
    <w:p/>
    <w:p>
      <w:r>
        <w:drawing>
          <wp:inline xmlns:a="http://schemas.openxmlformats.org/drawingml/2006/main" xmlns:pic="http://schemas.openxmlformats.org/drawingml/2006/picture">
            <wp:extent cx="4754880" cy="4728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2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Sample Predictions (green=correct, red=incorrect)</w:t>
      </w:r>
    </w:p>
    <w:p/>
    <w:p>
      <w:pPr>
        <w:pStyle w:val="Heading1"/>
      </w:pPr>
      <w:r>
        <w:rPr>
          <w:rFonts w:ascii="Times New Roman" w:hAnsi="Times New Roman"/>
        </w:rPr>
        <w:t>5. Key Findings &amp; Conclusions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Improvement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Contribution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Cosine Annealing LR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~+2% 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Exp1 CELoss: 74.50% vs original 72.65%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 Smoothing 0.1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+0.86% over CELoss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Exp1: 75.36% vs 74.50%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Optimal LR = 5e-5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+0.69% over 1e-4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Exp2: 73.21% vs 72.52%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Size 128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3.5x faster, same acc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Exp3: 560s vs 1933s (BS=16)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 Attention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significant benefit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Exp4: 74.50% vs 74.55% (delta=-0.05%)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Mixed Precision (AMP)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1.5-2x speedup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Enabled throughout, no accuracy loss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5.1 Core Conclusions</w:t>
      </w:r>
    </w:p>
    <w:p>
      <w:r>
        <w:rPr>
          <w:rFonts w:ascii="Times New Roman" w:hAnsi="Times New Roman"/>
          <w:sz w:val="22"/>
        </w:rPr>
        <w:t>1. Cosine annealing is the single most impactful improvement, contributing ~+2% accuracy.</w:t>
        <w:br/>
        <w:br/>
        <w:t>2. Label smoothing (0.1) provides consistent +0.86% improvement, validating the original finding.</w:t>
        <w:br/>
        <w:br/>
        <w:t>3. The optimal LR for fine-tuning ResNet-18 on CIFAR-100 is 5e-5 (with Adam + cosine), not 1e-4.</w:t>
        <w:br/>
        <w:br/>
        <w:t>4. BS=128 achieves the best speed-accuracy tradeoff with no accuracy penalty.</w:t>
        <w:br/>
        <w:br/>
        <w:t>5. SE attention contributes no measurable benefit at 64x64 resolution.</w:t>
        <w:br/>
        <w:br/>
        <w:t>6. Multi-seed evaluation with error bars is essential -- single-run results can vary by +/-0.5%.</w:t>
      </w:r>
    </w:p>
    <w:p>
      <w:r>
        <w:rPr>
          <w:rFonts w:ascii="Times New Roman" w:hAnsi="Times New Roman"/>
          <w:sz w:val="22"/>
        </w:rPr>
        <w:t>All artifacts saved to D:\ADOL\: checkpoints/, results/, figures/, pretrained/, data/, and reproducible source code (*.py).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