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黑体" w:hAnsi="黑体"/>
          <w:b/>
          <w:sz w:val="44"/>
        </w:rPr>
        <w:t>MovieRec 改进实验报告</w:t>
      </w:r>
    </w:p>
    <w:p/>
    <w:p>
      <w:pPr>
        <w:jc w:val="center"/>
      </w:pPr>
      <w:r>
        <w:rPr>
          <w:rFonts w:ascii="黑体" w:hAnsi="黑体"/>
          <w:sz w:val="28"/>
        </w:rPr>
        <w:t>基于协同过滤的电影推荐系统 — 关键Bug修复与方法论增强</w:t>
      </w:r>
    </w:p>
    <w:p/>
    <w:p>
      <w:pPr>
        <w:jc w:val="center"/>
      </w:pPr>
      <w:r>
        <w:rPr>
          <w:rFonts w:ascii="宋体" w:hAnsi="宋体"/>
          <w:sz w:val="22"/>
        </w:rPr>
        <w:t>与原实验的详细对照分析</w:t>
        <w:br/>
        <w:t>数据科学硕士课程</w:t>
        <w:br/>
        <w:t>2026年5月</w:t>
      </w:r>
    </w:p>
    <w:p>
      <w:r>
        <w:br w:type="page"/>
      </w:r>
    </w:p>
    <w:p>
      <w:pPr>
        <w:pStyle w:val="Heading1"/>
      </w:pPr>
      <w:r>
        <w:rPr>
          <w:rFonts w:ascii="黑体" w:hAnsi="黑体"/>
        </w:rPr>
        <w:t>摘要</w:t>
      </w:r>
    </w:p>
    <w:p>
      <w:r>
        <w:rPr>
          <w:rFonts w:ascii="宋体" w:hAnsi="宋体"/>
          <w:b w:val="0"/>
          <w:sz w:val="22"/>
        </w:rPr>
        <w:t>本报告是对 MovieRec 电影推荐系统的修正与增强复现实验。原实验基于 MovieLens 1M 数据集（6,040位用户、3,706部电影、1,000,209条评分）实现了基于用户和基于物品的协同过滤算法，并引入了 Z-score 标准化优化。然而，我们发现原始实现存在一个致命缺陷：Precision@K 和 Recall@K 均被报告为 0.0，原因是推荐函数未能排除用户已在训练集中评分过的项目。修复该 Bug 后，我们得到了有效的排序指标：基于用户的协同过滤 Precision@10 达到 0.086，基于物品的协同过滤（Pearson）Precision@10 达到 0.069。此外，我们新增了四个基线模型（GlobalMean、UserMean、ItemMean、MostPopular），将 Z-score 标准化扩展到基于物品的协同过滤（MAE 从 0.7904 降至 0.7146，提升 9.6%），通过配对 t 检验进行了统计显著性验证（所有改进 p &lt; 0.01），并完成了超参数 K 从 5 到 100 的敏感度分析。表现最优的模型是基于用户的协同过滤（余弦相似度 + Z-score），MAE = 0.7018。我们还修正了原报告中数据统计的矛盾之处，包括矩阵稀疏度（实际为 95.53% 而非 99.98%）和评分总数（100 万而非 181 万）。</w:t>
      </w:r>
    </w:p>
    <w:p>
      <w:pPr>
        <w:pStyle w:val="Heading1"/>
      </w:pPr>
      <w:r>
        <w:rPr>
          <w:rFonts w:ascii="黑体" w:hAnsi="黑体"/>
        </w:rPr>
        <w:t>一、引言</w:t>
      </w:r>
    </w:p>
    <w:p>
      <w:pPr>
        <w:pStyle w:val="Heading2"/>
      </w:pPr>
      <w:r>
        <w:rPr>
          <w:rFonts w:ascii="黑体" w:hAnsi="黑体"/>
        </w:rPr>
        <w:t>1.1 原实验发现的问题</w:t>
      </w:r>
    </w:p>
    <w:p>
      <w:r>
        <w:rPr>
          <w:rFonts w:ascii="宋体" w:hAnsi="宋体"/>
          <w:b w:val="0"/>
          <w:sz w:val="22"/>
        </w:rPr>
        <w:t>我们在复现原实验的过程中，发现了以下六个问题（按严重程度排序）：</w:t>
      </w:r>
    </w:p>
    <w:p>
      <w:pPr>
        <w:pStyle w:val="ListBullet"/>
      </w:pPr>
      <w:r>
        <w:rPr>
          <w:rFonts w:ascii="宋体" w:hAnsi="宋体"/>
          <w:sz w:val="20"/>
        </w:rPr>
        <w:t>【P0 — 致命评估Bug】Precision@K 和 Recall@K 对所有算法均报告为 0.0。根本原因：推荐函数未排除用户在训练集中已评分的物品，导致 Top-K 推荐列表中全是用户已交互过的内容，在测试集中无法命中任何新物品。</w:t>
      </w:r>
    </w:p>
    <w:p>
      <w:pPr>
        <w:pStyle w:val="ListBullet"/>
      </w:pPr>
      <w:r>
        <w:rPr>
          <w:rFonts w:ascii="宋体" w:hAnsi="宋体"/>
          <w:sz w:val="20"/>
        </w:rPr>
        <w:t>【P0 — 数据报告矛盾】原报告声称评分总数为 1,810,189 条，但标准 MovieLens 1M 数据集为 1,000,209 条。报告同时声称「仅约 18,000 条已观测交互」和「1,810,189 条评分」，两者自相矛盾。报告声称稀疏度为 99.98%，但实际为 95.53%，相差超过 20 倍。</w:t>
      </w:r>
    </w:p>
    <w:p>
      <w:pPr>
        <w:pStyle w:val="ListBullet"/>
      </w:pPr>
      <w:r>
        <w:rPr>
          <w:rFonts w:ascii="宋体" w:hAnsi="宋体"/>
          <w:sz w:val="20"/>
        </w:rPr>
        <w:t>【P1 — 缺少基线对比】仅比较了 User-CF vs Item-CF，未验证这两种方法是否优于简单的统计基线（如预测全局均值、用户均值、物品均值）。</w:t>
      </w:r>
    </w:p>
    <w:p>
      <w:pPr>
        <w:pStyle w:val="ListBullet"/>
      </w:pPr>
      <w:r>
        <w:rPr>
          <w:rFonts w:ascii="宋体" w:hAnsi="宋体"/>
          <w:sz w:val="20"/>
        </w:rPr>
        <w:t>【P1 — Z-score 分析不完整】仅对基于用户的协同过滤应用了 Z-score，未探索其对基于物品的协同过滤的影响。</w:t>
      </w:r>
    </w:p>
    <w:p>
      <w:pPr>
        <w:pStyle w:val="ListBullet"/>
      </w:pPr>
      <w:r>
        <w:rPr>
          <w:rFonts w:ascii="宋体" w:hAnsi="宋体"/>
          <w:sz w:val="20"/>
        </w:rPr>
        <w:t>【P2 — 缺少统计检验】Z-score 带来的性能提升未经过任何统计显著性检验，无法排除偶然性。</w:t>
      </w:r>
    </w:p>
    <w:p>
      <w:pPr>
        <w:pStyle w:val="ListBullet"/>
      </w:pPr>
      <w:r>
        <w:rPr>
          <w:rFonts w:ascii="宋体" w:hAnsi="宋体"/>
          <w:sz w:val="20"/>
        </w:rPr>
        <w:t>【P2 — 缺少超参数分析】所有结果均在单一 K=50 下报告，未探索邻居数量对性能的影响。</w:t>
      </w:r>
    </w:p>
    <w:p>
      <w:pPr>
        <w:pStyle w:val="Heading2"/>
      </w:pPr>
      <w:r>
        <w:rPr>
          <w:rFonts w:ascii="黑体" w:hAnsi="黑体"/>
        </w:rPr>
        <w:t>1.2 本实验的改进贡献</w:t>
      </w:r>
    </w:p>
    <w:p>
      <w:pPr>
        <w:pStyle w:val="ListBullet"/>
      </w:pPr>
      <w:r>
        <w:rPr>
          <w:rFonts w:ascii="宋体" w:hAnsi="宋体"/>
          <w:sz w:val="20"/>
        </w:rPr>
        <w:t>修复 Precision@K / Recall@K 评估 Bug：正确排除训练集已评分项目，得到有意义的排序指标。</w:t>
      </w:r>
    </w:p>
    <w:p>
      <w:pPr>
        <w:pStyle w:val="ListBullet"/>
      </w:pPr>
      <w:r>
        <w:rPr>
          <w:rFonts w:ascii="宋体" w:hAnsi="宋体"/>
          <w:sz w:val="20"/>
        </w:rPr>
        <w:t>新增 4 个基线模型：GlobalMean、UserMean、ItemMean、MostPopular，明确了 CF 方法的实际提升幅度。</w:t>
      </w:r>
    </w:p>
    <w:p>
      <w:pPr>
        <w:pStyle w:val="ListBullet"/>
      </w:pPr>
      <w:r>
        <w:rPr>
          <w:rFonts w:ascii="宋体" w:hAnsi="宋体"/>
          <w:sz w:val="20"/>
        </w:rPr>
        <w:t>将 Z-score 标准化同时应用于 User-CF 和 Item-CF，系统评估其在不同算法-相似度组合下的效果。</w:t>
      </w:r>
    </w:p>
    <w:p>
      <w:pPr>
        <w:pStyle w:val="ListBullet"/>
      </w:pPr>
      <w:r>
        <w:rPr>
          <w:rFonts w:ascii="宋体" w:hAnsi="宋体"/>
          <w:sz w:val="20"/>
        </w:rPr>
        <w:t>完成配对 t 检验统计显著性分析，所有主要改进均达到 p &lt; 0.01 水平。</w:t>
      </w:r>
    </w:p>
    <w:p>
      <w:pPr>
        <w:pStyle w:val="ListBullet"/>
      </w:pPr>
      <w:r>
        <w:rPr>
          <w:rFonts w:ascii="宋体" w:hAnsi="宋体"/>
          <w:sz w:val="20"/>
        </w:rPr>
        <w:t>完成超参数 K 从 5 到 100 的敏感度分析，给出最优 K 值建议。</w:t>
      </w:r>
    </w:p>
    <w:p>
      <w:pPr>
        <w:pStyle w:val="ListBullet"/>
      </w:pPr>
      <w:r>
        <w:rPr>
          <w:rFonts w:ascii="宋体" w:hAnsi="宋体"/>
          <w:sz w:val="20"/>
        </w:rPr>
        <w:t>修正原报告中所有数据矛盾，提供准确、一致的数据统计。</w:t>
      </w:r>
    </w:p>
    <w:p>
      <w:pPr>
        <w:pStyle w:val="Heading1"/>
      </w:pPr>
      <w:r>
        <w:rPr>
          <w:rFonts w:ascii="黑体" w:hAnsi="黑体"/>
        </w:rPr>
        <w:t>二、实验方法</w:t>
      </w:r>
    </w:p>
    <w:p>
      <w:pPr>
        <w:pStyle w:val="Heading2"/>
      </w:pPr>
      <w:r>
        <w:rPr>
          <w:rFonts w:ascii="黑体" w:hAnsi="黑体"/>
        </w:rPr>
        <w:t>2.1 数据集与预处理</w:t>
      </w:r>
    </w:p>
    <w:p>
      <w:r>
        <w:rPr>
          <w:rFonts w:ascii="宋体" w:hAnsi="宋体"/>
          <w:b w:val="0"/>
          <w:sz w:val="22"/>
        </w:rPr>
        <w:t>我们使用 MovieLens 1M 数据集，包含 6,040 位用户、3,706 部电影和 1,000,209 条 1–5 星的评分。用户-物品交互矩阵共有 22,384,240 个可能的单元格，其中已观测 1,000,209 个，稀疏度为 95.53%。评分分布呈现轻微右偏（均值 3.58，中位数 4，偏度 −0.55），最常见的评分为 4 星（34.9%）和 3 星（26.1%）。平均每位用户贡献 166 条评分（中位数 96）。</w:t>
      </w:r>
    </w:p>
    <w:p>
      <w:pPr>
        <w:pStyle w:val="Heading2"/>
      </w:pPr>
      <w:r>
        <w:rPr>
          <w:rFonts w:ascii="黑体" w:hAnsi="黑体"/>
        </w:rPr>
        <w:t>2.2 训练/测试集划分</w:t>
      </w:r>
    </w:p>
    <w:p>
      <w:r>
        <w:rPr>
          <w:rFonts w:ascii="宋体" w:hAnsi="宋体"/>
          <w:b w:val="0"/>
          <w:sz w:val="22"/>
        </w:rPr>
        <w:t>采用按用户的时间顺序划分：对每位用户，按时间戳排序后，将最近 20% 的评分作为测试集，其余 80% 作为训练集。评分少于 5 条的用户被排除。最终训练集包含 802,553 条评分，测试集包含 197,656 条评分，覆盖全部 6,040 位用户。</w:t>
      </w:r>
    </w:p>
    <w:p>
      <w:pPr>
        <w:pStyle w:val="Heading2"/>
      </w:pPr>
      <w:r>
        <w:rPr>
          <w:rFonts w:ascii="黑体" w:hAnsi="黑体"/>
        </w:rPr>
        <w:t>2.3 实现算法</w:t>
      </w:r>
    </w:p>
    <w:p>
      <w:r>
        <w:rPr>
          <w:rFonts w:ascii="宋体" w:hAnsi="宋体"/>
          <w:b w:val="0"/>
          <w:sz w:val="22"/>
        </w:rPr>
        <w:t>本实验统一实现了以下 12 个模型：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b/>
                <w:sz w:val="20"/>
              </w:rPr>
              <w:t>类型</w:t>
            </w:r>
          </w:p>
        </w:tc>
        <w:tc>
          <w:tcPr>
            <w:tcW w:type="dxa" w:w="2880"/>
          </w:tcPr>
          <w:p>
            <w:r>
              <w:rPr>
                <w:rFonts w:ascii="宋体" w:hAnsi="宋体"/>
                <w:b/>
                <w:sz w:val="20"/>
              </w:rPr>
              <w:t>模型</w:t>
            </w:r>
          </w:p>
        </w:tc>
        <w:tc>
          <w:tcPr>
            <w:tcW w:type="dxa" w:w="2880"/>
          </w:tcPr>
          <w:p>
            <w:r>
              <w:rPr>
                <w:rFonts w:ascii="宋体" w:hAnsi="宋体"/>
                <w:b/>
                <w:sz w:val="20"/>
              </w:rPr>
              <w:t>说明</w:t>
            </w:r>
          </w:p>
        </w:tc>
      </w:tr>
      <w:tr>
        <w:tc>
          <w:tcPr>
            <w:tcW w:type="dxa" w:w="2880"/>
          </w:tcPr>
          <w:p>
            <w:r>
              <w:rPr>
                <w:rFonts w:ascii="宋体" w:hAnsi="宋体"/>
                <w:sz w:val="20"/>
              </w:rPr>
              <w:t>基线</w:t>
            </w:r>
          </w:p>
        </w:tc>
        <w:tc>
          <w:tcPr>
            <w:tcW w:type="dxa" w:w="2880"/>
          </w:tcPr>
          <w:p>
            <w:r>
              <w:rPr>
                <w:rFonts w:ascii="宋体" w:hAnsi="宋体"/>
                <w:sz w:val="20"/>
              </w:rPr>
              <w:t>GlobalMean</w:t>
            </w:r>
          </w:p>
        </w:tc>
        <w:tc>
          <w:tcPr>
            <w:tcW w:type="dxa" w:w="2880"/>
          </w:tcPr>
          <w:p>
            <w:r>
              <w:rPr>
                <w:rFonts w:ascii="宋体" w:hAnsi="宋体"/>
                <w:sz w:val="20"/>
              </w:rPr>
              <w:t>对所有物品预测全局平均评分</w:t>
            </w:r>
          </w:p>
        </w:tc>
      </w:tr>
      <w:tr>
        <w:tc>
          <w:tcPr>
            <w:tcW w:type="dxa" w:w="2880"/>
          </w:tcPr>
          <w:p>
            <w:r>
              <w:rPr>
                <w:rFonts w:ascii="宋体" w:hAnsi="宋体"/>
                <w:sz w:val="20"/>
              </w:rPr>
              <w:t>基线</w:t>
            </w:r>
          </w:p>
        </w:tc>
        <w:tc>
          <w:tcPr>
            <w:tcW w:type="dxa" w:w="2880"/>
          </w:tcPr>
          <w:p>
            <w:r>
              <w:rPr>
                <w:rFonts w:ascii="宋体" w:hAnsi="宋体"/>
                <w:sz w:val="20"/>
              </w:rPr>
              <w:t>UserMean</w:t>
            </w:r>
          </w:p>
        </w:tc>
        <w:tc>
          <w:tcPr>
            <w:tcW w:type="dxa" w:w="2880"/>
          </w:tcPr>
          <w:p>
            <w:r>
              <w:rPr>
                <w:rFonts w:ascii="宋体" w:hAnsi="宋体"/>
                <w:sz w:val="20"/>
              </w:rPr>
              <w:t>对每位用户预测其个人平均评分</w:t>
            </w:r>
          </w:p>
        </w:tc>
      </w:tr>
      <w:tr>
        <w:tc>
          <w:tcPr>
            <w:tcW w:type="dxa" w:w="2880"/>
          </w:tcPr>
          <w:p>
            <w:r>
              <w:rPr>
                <w:rFonts w:ascii="宋体" w:hAnsi="宋体"/>
                <w:sz w:val="20"/>
              </w:rPr>
              <w:t>基线</w:t>
            </w:r>
          </w:p>
        </w:tc>
        <w:tc>
          <w:tcPr>
            <w:tcW w:type="dxa" w:w="2880"/>
          </w:tcPr>
          <w:p>
            <w:r>
              <w:rPr>
                <w:rFonts w:ascii="宋体" w:hAnsi="宋体"/>
                <w:sz w:val="20"/>
              </w:rPr>
              <w:t>ItemMean</w:t>
            </w:r>
          </w:p>
        </w:tc>
        <w:tc>
          <w:tcPr>
            <w:tcW w:type="dxa" w:w="2880"/>
          </w:tcPr>
          <w:p>
            <w:r>
              <w:rPr>
                <w:rFonts w:ascii="宋体" w:hAnsi="宋体"/>
                <w:sz w:val="20"/>
              </w:rPr>
              <w:t>对每个物品预测其历史平均评分</w:t>
            </w:r>
          </w:p>
        </w:tc>
      </w:tr>
      <w:tr>
        <w:tc>
          <w:tcPr>
            <w:tcW w:type="dxa" w:w="2880"/>
          </w:tcPr>
          <w:p>
            <w:r>
              <w:rPr>
                <w:rFonts w:ascii="宋体" w:hAnsi="宋体"/>
                <w:sz w:val="20"/>
              </w:rPr>
              <w:t>基线</w:t>
            </w:r>
          </w:p>
        </w:tc>
        <w:tc>
          <w:tcPr>
            <w:tcW w:type="dxa" w:w="2880"/>
          </w:tcPr>
          <w:p>
            <w:r>
              <w:rPr>
                <w:rFonts w:ascii="宋体" w:hAnsi="宋体"/>
                <w:sz w:val="20"/>
              </w:rPr>
              <w:t>MostPopular</w:t>
            </w:r>
          </w:p>
        </w:tc>
        <w:tc>
          <w:tcPr>
            <w:tcW w:type="dxa" w:w="2880"/>
          </w:tcPr>
          <w:p>
            <w:r>
              <w:rPr>
                <w:rFonts w:ascii="宋体" w:hAnsi="宋体"/>
                <w:sz w:val="20"/>
              </w:rPr>
              <w:t>推荐评分次数最多的物品（非个性化）</w:t>
            </w:r>
          </w:p>
        </w:tc>
      </w:tr>
      <w:tr>
        <w:tc>
          <w:tcPr>
            <w:tcW w:type="dxa" w:w="2880"/>
          </w:tcPr>
          <w:p>
            <w:r>
              <w:rPr>
                <w:rFonts w:ascii="宋体" w:hAnsi="宋体"/>
                <w:sz w:val="20"/>
              </w:rPr>
              <w:t>CF</w:t>
            </w:r>
          </w:p>
        </w:tc>
        <w:tc>
          <w:tcPr>
            <w:tcW w:type="dxa" w:w="2880"/>
          </w:tcPr>
          <w:p>
            <w:r>
              <w:rPr>
                <w:rFonts w:ascii="宋体" w:hAnsi="宋体"/>
                <w:sz w:val="20"/>
              </w:rPr>
              <w:t>User-CF (cosine)</w:t>
            </w:r>
          </w:p>
        </w:tc>
        <w:tc>
          <w:tcPr>
            <w:tcW w:type="dxa" w:w="2880"/>
          </w:tcPr>
          <w:p>
            <w:r>
              <w:rPr>
                <w:rFonts w:ascii="宋体" w:hAnsi="宋体"/>
                <w:sz w:val="20"/>
              </w:rPr>
              <w:t>基于用户的协同过滤 + 余弦相似度</w:t>
            </w:r>
          </w:p>
        </w:tc>
      </w:tr>
      <w:tr>
        <w:tc>
          <w:tcPr>
            <w:tcW w:type="dxa" w:w="2880"/>
          </w:tcPr>
          <w:p>
            <w:r>
              <w:rPr>
                <w:rFonts w:ascii="宋体" w:hAnsi="宋体"/>
                <w:sz w:val="20"/>
              </w:rPr>
              <w:t>CF</w:t>
            </w:r>
          </w:p>
        </w:tc>
        <w:tc>
          <w:tcPr>
            <w:tcW w:type="dxa" w:w="2880"/>
          </w:tcPr>
          <w:p>
            <w:r>
              <w:rPr>
                <w:rFonts w:ascii="宋体" w:hAnsi="宋体"/>
                <w:sz w:val="20"/>
              </w:rPr>
              <w:t>User-CF (cosine, Z)</w:t>
            </w:r>
          </w:p>
        </w:tc>
        <w:tc>
          <w:tcPr>
            <w:tcW w:type="dxa" w:w="2880"/>
          </w:tcPr>
          <w:p>
            <w:r>
              <w:rPr>
                <w:rFonts w:ascii="宋体" w:hAnsi="宋体"/>
                <w:sz w:val="20"/>
              </w:rPr>
              <w:t>基于用户的协同过滤 + 余弦相似度 + Z-score</w:t>
            </w:r>
          </w:p>
        </w:tc>
      </w:tr>
      <w:tr>
        <w:tc>
          <w:tcPr>
            <w:tcW w:type="dxa" w:w="2880"/>
          </w:tcPr>
          <w:p>
            <w:r>
              <w:rPr>
                <w:rFonts w:ascii="宋体" w:hAnsi="宋体"/>
                <w:sz w:val="20"/>
              </w:rPr>
              <w:t>CF</w:t>
            </w:r>
          </w:p>
        </w:tc>
        <w:tc>
          <w:tcPr>
            <w:tcW w:type="dxa" w:w="2880"/>
          </w:tcPr>
          <w:p>
            <w:r>
              <w:rPr>
                <w:rFonts w:ascii="宋体" w:hAnsi="宋体"/>
                <w:sz w:val="20"/>
              </w:rPr>
              <w:t>User-CF (pearson)</w:t>
            </w:r>
          </w:p>
        </w:tc>
        <w:tc>
          <w:tcPr>
            <w:tcW w:type="dxa" w:w="2880"/>
          </w:tcPr>
          <w:p>
            <w:r>
              <w:rPr>
                <w:rFonts w:ascii="宋体" w:hAnsi="宋体"/>
                <w:sz w:val="20"/>
              </w:rPr>
              <w:t>基于用户的协同过滤 + Pearson相关系数</w:t>
            </w:r>
          </w:p>
        </w:tc>
      </w:tr>
      <w:tr>
        <w:tc>
          <w:tcPr>
            <w:tcW w:type="dxa" w:w="2880"/>
          </w:tcPr>
          <w:p>
            <w:r>
              <w:rPr>
                <w:rFonts w:ascii="宋体" w:hAnsi="宋体"/>
                <w:sz w:val="20"/>
              </w:rPr>
              <w:t>CF</w:t>
            </w:r>
          </w:p>
        </w:tc>
        <w:tc>
          <w:tcPr>
            <w:tcW w:type="dxa" w:w="2880"/>
          </w:tcPr>
          <w:p>
            <w:r>
              <w:rPr>
                <w:rFonts w:ascii="宋体" w:hAnsi="宋体"/>
                <w:sz w:val="20"/>
              </w:rPr>
              <w:t>User-CF (pearson, Z)</w:t>
            </w:r>
          </w:p>
        </w:tc>
        <w:tc>
          <w:tcPr>
            <w:tcW w:type="dxa" w:w="2880"/>
          </w:tcPr>
          <w:p>
            <w:r>
              <w:rPr>
                <w:rFonts w:ascii="宋体" w:hAnsi="宋体"/>
                <w:sz w:val="20"/>
              </w:rPr>
              <w:t>基于用户的协同过滤 + Pearson + Z-score</w:t>
            </w:r>
          </w:p>
        </w:tc>
      </w:tr>
      <w:tr>
        <w:tc>
          <w:tcPr>
            <w:tcW w:type="dxa" w:w="2880"/>
          </w:tcPr>
          <w:p>
            <w:r>
              <w:rPr>
                <w:rFonts w:ascii="宋体" w:hAnsi="宋体"/>
                <w:sz w:val="20"/>
              </w:rPr>
              <w:t>CF</w:t>
            </w:r>
          </w:p>
        </w:tc>
        <w:tc>
          <w:tcPr>
            <w:tcW w:type="dxa" w:w="2880"/>
          </w:tcPr>
          <w:p>
            <w:r>
              <w:rPr>
                <w:rFonts w:ascii="宋体" w:hAnsi="宋体"/>
                <w:sz w:val="20"/>
              </w:rPr>
              <w:t>Item-CF (cosine)</w:t>
            </w:r>
          </w:p>
        </w:tc>
        <w:tc>
          <w:tcPr>
            <w:tcW w:type="dxa" w:w="2880"/>
          </w:tcPr>
          <w:p>
            <w:r>
              <w:rPr>
                <w:rFonts w:ascii="宋体" w:hAnsi="宋体"/>
                <w:sz w:val="20"/>
              </w:rPr>
              <w:t>基于物品的协同过滤 + 余弦相似度</w:t>
            </w:r>
          </w:p>
        </w:tc>
      </w:tr>
      <w:tr>
        <w:tc>
          <w:tcPr>
            <w:tcW w:type="dxa" w:w="2880"/>
          </w:tcPr>
          <w:p>
            <w:r>
              <w:rPr>
                <w:rFonts w:ascii="宋体" w:hAnsi="宋体"/>
                <w:sz w:val="20"/>
              </w:rPr>
              <w:t>CF</w:t>
            </w:r>
          </w:p>
        </w:tc>
        <w:tc>
          <w:tcPr>
            <w:tcW w:type="dxa" w:w="2880"/>
          </w:tcPr>
          <w:p>
            <w:r>
              <w:rPr>
                <w:rFonts w:ascii="宋体" w:hAnsi="宋体"/>
                <w:sz w:val="20"/>
              </w:rPr>
              <w:t>Item-CF (cosine, Z)</w:t>
            </w:r>
          </w:p>
        </w:tc>
        <w:tc>
          <w:tcPr>
            <w:tcW w:type="dxa" w:w="2880"/>
          </w:tcPr>
          <w:p>
            <w:r>
              <w:rPr>
                <w:rFonts w:ascii="宋体" w:hAnsi="宋体"/>
                <w:sz w:val="20"/>
              </w:rPr>
              <w:t>基于物品的协同过滤 + 余弦相似度 + Z-score</w:t>
            </w:r>
          </w:p>
        </w:tc>
      </w:tr>
      <w:tr>
        <w:tc>
          <w:tcPr>
            <w:tcW w:type="dxa" w:w="2880"/>
          </w:tcPr>
          <w:p>
            <w:r>
              <w:rPr>
                <w:rFonts w:ascii="宋体" w:hAnsi="宋体"/>
                <w:sz w:val="20"/>
              </w:rPr>
              <w:t>CF</w:t>
            </w:r>
          </w:p>
        </w:tc>
        <w:tc>
          <w:tcPr>
            <w:tcW w:type="dxa" w:w="2880"/>
          </w:tcPr>
          <w:p>
            <w:r>
              <w:rPr>
                <w:rFonts w:ascii="宋体" w:hAnsi="宋体"/>
                <w:sz w:val="20"/>
              </w:rPr>
              <w:t>Item-CF (pearson)</w:t>
            </w:r>
          </w:p>
        </w:tc>
        <w:tc>
          <w:tcPr>
            <w:tcW w:type="dxa" w:w="2880"/>
          </w:tcPr>
          <w:p>
            <w:r>
              <w:rPr>
                <w:rFonts w:ascii="宋体" w:hAnsi="宋体"/>
                <w:sz w:val="20"/>
              </w:rPr>
              <w:t>基于物品的协同过滤 + Pearson相关系数</w:t>
            </w:r>
          </w:p>
        </w:tc>
      </w:tr>
      <w:tr>
        <w:tc>
          <w:tcPr>
            <w:tcW w:type="dxa" w:w="2880"/>
          </w:tcPr>
          <w:p>
            <w:r>
              <w:rPr>
                <w:rFonts w:ascii="宋体" w:hAnsi="宋体"/>
                <w:sz w:val="20"/>
              </w:rPr>
              <w:t>CF</w:t>
            </w:r>
          </w:p>
        </w:tc>
        <w:tc>
          <w:tcPr>
            <w:tcW w:type="dxa" w:w="2880"/>
          </w:tcPr>
          <w:p>
            <w:r>
              <w:rPr>
                <w:rFonts w:ascii="宋体" w:hAnsi="宋体"/>
                <w:sz w:val="20"/>
              </w:rPr>
              <w:t>Item-CF (pearson, Z)</w:t>
            </w:r>
          </w:p>
        </w:tc>
        <w:tc>
          <w:tcPr>
            <w:tcW w:type="dxa" w:w="2880"/>
          </w:tcPr>
          <w:p>
            <w:r>
              <w:rPr>
                <w:rFonts w:ascii="宋体" w:hAnsi="宋体"/>
                <w:sz w:val="20"/>
              </w:rPr>
              <w:t>基于物品的协同过滤 + Pearson + Z-score</w:t>
            </w:r>
          </w:p>
        </w:tc>
      </w:tr>
    </w:tbl>
    <w:p/>
    <w:p>
      <w:pPr>
        <w:pStyle w:val="Heading2"/>
      </w:pPr>
      <w:r>
        <w:rPr>
          <w:rFonts w:ascii="黑体" w:hAnsi="黑体"/>
        </w:rPr>
        <w:t>2.4 Z-score 标准化原理</w:t>
      </w:r>
    </w:p>
    <w:p>
      <w:r>
        <w:rPr>
          <w:rFonts w:ascii="宋体" w:hAnsi="宋体"/>
          <w:b w:val="0"/>
          <w:sz w:val="22"/>
        </w:rPr>
        <w:t>Z-score 标准化将每位用户的评分转换为标准差单位：z_ui = (r_ui − μ_u) / σ_u，其中 μ_u 和 σ_u 分别是用户 u 在训练集中评分的均值和标准差。此举的核心目的是消除个人评分偏差——有些用户习惯性给 2–3 星，另一些用户习惯性给 4–5 星，直接比较原始评分会引入噪声。标准化的关键细节在于：(1) 在计算相似度之前进行 Z-score 变换，使相似度反映的是评分模式而非绝对值；(2) 在预测后再反标准化：r̂ = ẑ · σ_u + μ_u。</w:t>
      </w:r>
    </w:p>
    <w:p>
      <w:pPr>
        <w:pStyle w:val="Heading2"/>
      </w:pPr>
      <w:r>
        <w:rPr>
          <w:rFonts w:ascii="黑体" w:hAnsi="黑体"/>
        </w:rPr>
        <w:t>2.5 关键Bug修复：Precision@K / Recall@K</w:t>
      </w:r>
    </w:p>
    <w:p>
      <w:r>
        <w:rPr>
          <w:rFonts w:ascii="宋体" w:hAnsi="宋体"/>
          <w:b w:val="0"/>
          <w:sz w:val="22"/>
        </w:rPr>
        <w:t>这是本实验最重要的修正。原实现的推荐函数直接返回预测评分最高的 K 个物品，未排除用户已在训练集中评分过的物品。由于 CF 倾向于对用户已高分评分的相似物品给出高预测值，Top-K 推荐列表几乎全部被训练集物品占据。当用测试集（包含用户评分过但被保留的物品）验证时，推荐列表中没有新物品，命中率为零。</w:t>
      </w:r>
    </w:p>
    <w:p>
      <w:r>
        <w:rPr>
          <w:rFonts w:ascii="宋体" w:hAnsi="宋体"/>
          <w:b w:val="0"/>
          <w:sz w:val="22"/>
        </w:rPr>
        <w:t>修正后的实现：(1) 对每位测试用户，获取其在训练集中已评分的所有物品；(2) 生成 K 个推荐时显式排除这些物品；(3) 将推荐物品与用户的测试集进行比对，评分 &gt;= 4 的视为「相关」命中。这是 Herlocker 等人（2004）描述的留一法评估标准协议。</w:t>
      </w:r>
    </w:p>
    <w:p>
      <w:pPr>
        <w:pStyle w:val="Heading2"/>
      </w:pPr>
      <w:r>
        <w:rPr>
          <w:rFonts w:ascii="黑体" w:hAnsi="黑体"/>
        </w:rPr>
        <w:t>2.6 统计显著性检验</w:t>
      </w:r>
    </w:p>
    <w:p>
      <w:r>
        <w:rPr>
          <w:rFonts w:ascii="宋体" w:hAnsi="宋体"/>
          <w:b w:val="0"/>
          <w:sz w:val="22"/>
        </w:rPr>
        <w:t>我们对每种算法计算逐用户的 MAE，然后进行配对双尾 t 检验。显著性标记：* p &lt; 0.05，** p &lt; 0.01，*** p &lt; 0.001。</w:t>
      </w:r>
    </w:p>
    <w:p>
      <w:pPr>
        <w:pStyle w:val="Heading1"/>
      </w:pPr>
      <w:r>
        <w:rPr>
          <w:rFonts w:ascii="黑体" w:hAnsi="黑体"/>
        </w:rPr>
        <w:t>三、实验结果</w:t>
      </w:r>
    </w:p>
    <w:p>
      <w:pPr>
        <w:pStyle w:val="Heading2"/>
      </w:pPr>
      <w:r>
        <w:rPr>
          <w:rFonts w:ascii="黑体" w:hAnsi="黑体"/>
        </w:rPr>
        <w:t>3.1 评分预测精度</w:t>
      </w:r>
    </w:p>
    <w:p>
      <w:r>
        <w:rPr>
          <w:rFonts w:ascii="宋体" w:hAnsi="宋体"/>
          <w:b w:val="0"/>
          <w:sz w:val="22"/>
        </w:rPr>
        <w:t>表 1 展示了所有 12 个模型的 MAE 和 RMSE。表现最优的模型是基于用户的协同过滤（余弦相似度 + Z-score），MAE = 0.7018；紧随其后的是基于物品的协同过滤（余弦相似度 + Z-score），MAE = 0.7146。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b/>
                <w:sz w:val="20"/>
              </w:rPr>
              <w:t>模型</w:t>
            </w:r>
          </w:p>
        </w:tc>
        <w:tc>
          <w:tcPr>
            <w:tcW w:type="dxa" w:w="2160"/>
          </w:tcPr>
          <w:p>
            <w:r>
              <w:rPr>
                <w:rFonts w:ascii="宋体" w:hAnsi="宋体"/>
                <w:b/>
                <w:sz w:val="20"/>
              </w:rPr>
              <w:t>MAE</w:t>
            </w:r>
          </w:p>
        </w:tc>
        <w:tc>
          <w:tcPr>
            <w:tcW w:type="dxa" w:w="2160"/>
          </w:tcPr>
          <w:p>
            <w:r>
              <w:rPr>
                <w:rFonts w:ascii="宋体" w:hAnsi="宋体"/>
                <w:b/>
                <w:sz w:val="20"/>
              </w:rPr>
              <w:t>RMSE</w:t>
            </w:r>
          </w:p>
        </w:tc>
        <w:tc>
          <w:tcPr>
            <w:tcW w:type="dxa" w:w="2160"/>
          </w:tcPr>
          <w:p>
            <w:r>
              <w:rPr>
                <w:rFonts w:ascii="宋体" w:hAnsi="宋体"/>
                <w:b/>
                <w:sz w:val="20"/>
              </w:rPr>
              <w:t>预测耗时</w:t>
            </w:r>
          </w:p>
        </w:tc>
      </w:tr>
      <w:tr>
        <w:tc>
          <w:tcPr>
            <w:tcW w:type="dxa" w:w="2160"/>
          </w:tcPr>
          <w:p>
            <w:r>
              <w:rPr>
                <w:rFonts w:ascii="宋体" w:hAnsi="宋体"/>
                <w:sz w:val="20"/>
              </w:rPr>
              <w:t>User-CF (cosine, Z)</w:t>
            </w:r>
          </w:p>
        </w:tc>
        <w:tc>
          <w:tcPr>
            <w:tcW w:type="dxa" w:w="2160"/>
          </w:tcPr>
          <w:p>
            <w:r>
              <w:rPr>
                <w:rFonts w:ascii="宋体" w:hAnsi="宋体"/>
                <w:sz w:val="20"/>
              </w:rPr>
              <w:t>0.7018</w:t>
            </w:r>
          </w:p>
        </w:tc>
        <w:tc>
          <w:tcPr>
            <w:tcW w:type="dxa" w:w="2160"/>
          </w:tcPr>
          <w:p>
            <w:r>
              <w:rPr>
                <w:rFonts w:ascii="宋体" w:hAnsi="宋体"/>
                <w:sz w:val="20"/>
              </w:rPr>
              <w:t>0.9066</w:t>
            </w:r>
          </w:p>
        </w:tc>
        <w:tc>
          <w:tcPr>
            <w:tcW w:type="dxa" w:w="2160"/>
          </w:tcPr>
          <w:p>
            <w:r>
              <w:rPr>
                <w:rFonts w:ascii="宋体" w:hAnsi="宋体"/>
                <w:sz w:val="20"/>
              </w:rPr>
              <w:t>3.46s</w:t>
            </w:r>
          </w:p>
        </w:tc>
      </w:tr>
      <w:tr>
        <w:tc>
          <w:tcPr>
            <w:tcW w:type="dxa" w:w="2160"/>
          </w:tcPr>
          <w:p>
            <w:r>
              <w:rPr>
                <w:rFonts w:ascii="宋体" w:hAnsi="宋体"/>
                <w:sz w:val="20"/>
              </w:rPr>
              <w:t>Item-CF (cosine, Z)</w:t>
            </w:r>
          </w:p>
        </w:tc>
        <w:tc>
          <w:tcPr>
            <w:tcW w:type="dxa" w:w="2160"/>
          </w:tcPr>
          <w:p>
            <w:r>
              <w:rPr>
                <w:rFonts w:ascii="宋体" w:hAnsi="宋体"/>
                <w:sz w:val="20"/>
              </w:rPr>
              <w:t>0.7146</w:t>
            </w:r>
          </w:p>
        </w:tc>
        <w:tc>
          <w:tcPr>
            <w:tcW w:type="dxa" w:w="2160"/>
          </w:tcPr>
          <w:p>
            <w:r>
              <w:rPr>
                <w:rFonts w:ascii="宋体" w:hAnsi="宋体"/>
                <w:sz w:val="20"/>
              </w:rPr>
              <w:t>0.9171</w:t>
            </w:r>
          </w:p>
        </w:tc>
        <w:tc>
          <w:tcPr>
            <w:tcW w:type="dxa" w:w="2160"/>
          </w:tcPr>
          <w:p>
            <w:r>
              <w:rPr>
                <w:rFonts w:ascii="宋体" w:hAnsi="宋体"/>
                <w:sz w:val="20"/>
              </w:rPr>
              <w:t>2.51s</w:t>
            </w:r>
          </w:p>
        </w:tc>
      </w:tr>
      <w:tr>
        <w:tc>
          <w:tcPr>
            <w:tcW w:type="dxa" w:w="2160"/>
          </w:tcPr>
          <w:p>
            <w:r>
              <w:rPr>
                <w:rFonts w:ascii="宋体" w:hAnsi="宋体"/>
                <w:sz w:val="20"/>
              </w:rPr>
              <w:t>User-CF (pearson, Z)</w:t>
            </w:r>
          </w:p>
        </w:tc>
        <w:tc>
          <w:tcPr>
            <w:tcW w:type="dxa" w:w="2160"/>
          </w:tcPr>
          <w:p>
            <w:r>
              <w:rPr>
                <w:rFonts w:ascii="宋体" w:hAnsi="宋体"/>
                <w:sz w:val="20"/>
              </w:rPr>
              <w:t>0.7237</w:t>
            </w:r>
          </w:p>
        </w:tc>
        <w:tc>
          <w:tcPr>
            <w:tcW w:type="dxa" w:w="2160"/>
          </w:tcPr>
          <w:p>
            <w:r>
              <w:rPr>
                <w:rFonts w:ascii="宋体" w:hAnsi="宋体"/>
                <w:sz w:val="20"/>
              </w:rPr>
              <w:t>0.9326</w:t>
            </w:r>
          </w:p>
        </w:tc>
        <w:tc>
          <w:tcPr>
            <w:tcW w:type="dxa" w:w="2160"/>
          </w:tcPr>
          <w:p>
            <w:r>
              <w:rPr>
                <w:rFonts w:ascii="宋体" w:hAnsi="宋体"/>
                <w:sz w:val="20"/>
              </w:rPr>
              <w:t>3.39s</w:t>
            </w:r>
          </w:p>
        </w:tc>
      </w:tr>
      <w:tr>
        <w:tc>
          <w:tcPr>
            <w:tcW w:type="dxa" w:w="2160"/>
          </w:tcPr>
          <w:p>
            <w:r>
              <w:rPr>
                <w:rFonts w:ascii="宋体" w:hAnsi="宋体"/>
                <w:sz w:val="20"/>
              </w:rPr>
              <w:t>Item-CF (pearson)</w:t>
            </w:r>
          </w:p>
        </w:tc>
        <w:tc>
          <w:tcPr>
            <w:tcW w:type="dxa" w:w="2160"/>
          </w:tcPr>
          <w:p>
            <w:r>
              <w:rPr>
                <w:rFonts w:ascii="宋体" w:hAnsi="宋体"/>
                <w:sz w:val="20"/>
              </w:rPr>
              <w:t>0.7503</w:t>
            </w:r>
          </w:p>
        </w:tc>
        <w:tc>
          <w:tcPr>
            <w:tcW w:type="dxa" w:w="2160"/>
          </w:tcPr>
          <w:p>
            <w:r>
              <w:rPr>
                <w:rFonts w:ascii="宋体" w:hAnsi="宋体"/>
                <w:sz w:val="20"/>
              </w:rPr>
              <w:t>0.9594</w:t>
            </w:r>
          </w:p>
        </w:tc>
        <w:tc>
          <w:tcPr>
            <w:tcW w:type="dxa" w:w="2160"/>
          </w:tcPr>
          <w:p>
            <w:r>
              <w:rPr>
                <w:rFonts w:ascii="宋体" w:hAnsi="宋体"/>
                <w:sz w:val="20"/>
              </w:rPr>
              <w:t>2.47s</w:t>
            </w:r>
          </w:p>
        </w:tc>
      </w:tr>
      <w:tr>
        <w:tc>
          <w:tcPr>
            <w:tcW w:type="dxa" w:w="2160"/>
          </w:tcPr>
          <w:p>
            <w:r>
              <w:rPr>
                <w:rFonts w:ascii="宋体" w:hAnsi="宋体"/>
                <w:sz w:val="20"/>
              </w:rPr>
              <w:t>User-CF (pearson)</w:t>
            </w:r>
          </w:p>
        </w:tc>
        <w:tc>
          <w:tcPr>
            <w:tcW w:type="dxa" w:w="2160"/>
          </w:tcPr>
          <w:p>
            <w:r>
              <w:rPr>
                <w:rFonts w:ascii="宋体" w:hAnsi="宋体"/>
                <w:sz w:val="20"/>
              </w:rPr>
              <w:t>0.7640</w:t>
            </w:r>
          </w:p>
        </w:tc>
        <w:tc>
          <w:tcPr>
            <w:tcW w:type="dxa" w:w="2160"/>
          </w:tcPr>
          <w:p>
            <w:r>
              <w:rPr>
                <w:rFonts w:ascii="宋体" w:hAnsi="宋体"/>
                <w:sz w:val="20"/>
              </w:rPr>
              <w:t>0.9594</w:t>
            </w:r>
          </w:p>
        </w:tc>
        <w:tc>
          <w:tcPr>
            <w:tcW w:type="dxa" w:w="2160"/>
          </w:tcPr>
          <w:p>
            <w:r>
              <w:rPr>
                <w:rFonts w:ascii="宋体" w:hAnsi="宋体"/>
                <w:sz w:val="20"/>
              </w:rPr>
              <w:t>3.38s</w:t>
            </w:r>
          </w:p>
        </w:tc>
      </w:tr>
      <w:tr>
        <w:tc>
          <w:tcPr>
            <w:tcW w:type="dxa" w:w="2160"/>
          </w:tcPr>
          <w:p>
            <w:r>
              <w:rPr>
                <w:rFonts w:ascii="宋体" w:hAnsi="宋体"/>
                <w:sz w:val="20"/>
              </w:rPr>
              <w:t>Item-CF (pearson, Z)</w:t>
            </w:r>
          </w:p>
        </w:tc>
        <w:tc>
          <w:tcPr>
            <w:tcW w:type="dxa" w:w="2160"/>
          </w:tcPr>
          <w:p>
            <w:r>
              <w:rPr>
                <w:rFonts w:ascii="宋体" w:hAnsi="宋体"/>
                <w:sz w:val="20"/>
              </w:rPr>
              <w:t>0.7724</w:t>
            </w:r>
          </w:p>
        </w:tc>
        <w:tc>
          <w:tcPr>
            <w:tcW w:type="dxa" w:w="2160"/>
          </w:tcPr>
          <w:p>
            <w:r>
              <w:rPr>
                <w:rFonts w:ascii="宋体" w:hAnsi="宋体"/>
                <w:sz w:val="20"/>
              </w:rPr>
              <w:t>0.9905</w:t>
            </w:r>
          </w:p>
        </w:tc>
        <w:tc>
          <w:tcPr>
            <w:tcW w:type="dxa" w:w="2160"/>
          </w:tcPr>
          <w:p>
            <w:r>
              <w:rPr>
                <w:rFonts w:ascii="宋体" w:hAnsi="宋体"/>
                <w:sz w:val="20"/>
              </w:rPr>
              <w:t>2.50s</w:t>
            </w:r>
          </w:p>
        </w:tc>
      </w:tr>
      <w:tr>
        <w:tc>
          <w:tcPr>
            <w:tcW w:type="dxa" w:w="2160"/>
          </w:tcPr>
          <w:p>
            <w:r>
              <w:rPr>
                <w:rFonts w:ascii="宋体" w:hAnsi="宋体"/>
                <w:sz w:val="20"/>
              </w:rPr>
              <w:t>User-CF (cosine)</w:t>
            </w:r>
          </w:p>
        </w:tc>
        <w:tc>
          <w:tcPr>
            <w:tcW w:type="dxa" w:w="2160"/>
          </w:tcPr>
          <w:p>
            <w:r>
              <w:rPr>
                <w:rFonts w:ascii="宋体" w:hAnsi="宋体"/>
                <w:sz w:val="20"/>
              </w:rPr>
              <w:t>0.7737</w:t>
            </w:r>
          </w:p>
        </w:tc>
        <w:tc>
          <w:tcPr>
            <w:tcW w:type="dxa" w:w="2160"/>
          </w:tcPr>
          <w:p>
            <w:r>
              <w:rPr>
                <w:rFonts w:ascii="宋体" w:hAnsi="宋体"/>
                <w:sz w:val="20"/>
              </w:rPr>
              <w:t>0.9735</w:t>
            </w:r>
          </w:p>
        </w:tc>
        <w:tc>
          <w:tcPr>
            <w:tcW w:type="dxa" w:w="2160"/>
          </w:tcPr>
          <w:p>
            <w:r>
              <w:rPr>
                <w:rFonts w:ascii="宋体" w:hAnsi="宋体"/>
                <w:sz w:val="20"/>
              </w:rPr>
              <w:t>3.41s</w:t>
            </w:r>
          </w:p>
        </w:tc>
      </w:tr>
      <w:tr>
        <w:tc>
          <w:tcPr>
            <w:tcW w:type="dxa" w:w="2160"/>
          </w:tcPr>
          <w:p>
            <w:r>
              <w:rPr>
                <w:rFonts w:ascii="宋体" w:hAnsi="宋体"/>
                <w:sz w:val="20"/>
              </w:rPr>
              <w:t>ItemMean</w:t>
            </w:r>
          </w:p>
        </w:tc>
        <w:tc>
          <w:tcPr>
            <w:tcW w:type="dxa" w:w="2160"/>
          </w:tcPr>
          <w:p>
            <w:r>
              <w:rPr>
                <w:rFonts w:ascii="宋体" w:hAnsi="宋体"/>
                <w:sz w:val="20"/>
              </w:rPr>
              <w:t>0.7871</w:t>
            </w:r>
          </w:p>
        </w:tc>
        <w:tc>
          <w:tcPr>
            <w:tcW w:type="dxa" w:w="2160"/>
          </w:tcPr>
          <w:p>
            <w:r>
              <w:rPr>
                <w:rFonts w:ascii="宋体" w:hAnsi="宋体"/>
                <w:sz w:val="20"/>
              </w:rPr>
              <w:t>0.9898</w:t>
            </w:r>
          </w:p>
        </w:tc>
        <w:tc>
          <w:tcPr>
            <w:tcW w:type="dxa" w:w="2160"/>
          </w:tcPr>
          <w:p>
            <w:r>
              <w:rPr>
                <w:rFonts w:ascii="宋体" w:hAnsi="宋体"/>
                <w:sz w:val="20"/>
              </w:rPr>
              <w:t>0.00s</w:t>
            </w:r>
          </w:p>
        </w:tc>
      </w:tr>
      <w:tr>
        <w:tc>
          <w:tcPr>
            <w:tcW w:type="dxa" w:w="2160"/>
          </w:tcPr>
          <w:p>
            <w:r>
              <w:rPr>
                <w:rFonts w:ascii="宋体" w:hAnsi="宋体"/>
                <w:sz w:val="20"/>
              </w:rPr>
              <w:t>MostPopular</w:t>
            </w:r>
          </w:p>
        </w:tc>
        <w:tc>
          <w:tcPr>
            <w:tcW w:type="dxa" w:w="2160"/>
          </w:tcPr>
          <w:p>
            <w:r>
              <w:rPr>
                <w:rFonts w:ascii="宋体" w:hAnsi="宋体"/>
                <w:sz w:val="20"/>
              </w:rPr>
              <w:t>0.7871</w:t>
            </w:r>
          </w:p>
        </w:tc>
        <w:tc>
          <w:tcPr>
            <w:tcW w:type="dxa" w:w="2160"/>
          </w:tcPr>
          <w:p>
            <w:r>
              <w:rPr>
                <w:rFonts w:ascii="宋体" w:hAnsi="宋体"/>
                <w:sz w:val="20"/>
              </w:rPr>
              <w:t>0.9898</w:t>
            </w:r>
          </w:p>
        </w:tc>
        <w:tc>
          <w:tcPr>
            <w:tcW w:type="dxa" w:w="2160"/>
          </w:tcPr>
          <w:p>
            <w:r>
              <w:rPr>
                <w:rFonts w:ascii="宋体" w:hAnsi="宋体"/>
                <w:sz w:val="20"/>
              </w:rPr>
              <w:t>0.00s</w:t>
            </w:r>
          </w:p>
        </w:tc>
      </w:tr>
      <w:tr>
        <w:tc>
          <w:tcPr>
            <w:tcW w:type="dxa" w:w="2160"/>
          </w:tcPr>
          <w:p>
            <w:r>
              <w:rPr>
                <w:rFonts w:ascii="宋体" w:hAnsi="宋体"/>
                <w:sz w:val="20"/>
              </w:rPr>
              <w:t>Item-CF (cosine)</w:t>
            </w:r>
          </w:p>
        </w:tc>
        <w:tc>
          <w:tcPr>
            <w:tcW w:type="dxa" w:w="2160"/>
          </w:tcPr>
          <w:p>
            <w:r>
              <w:rPr>
                <w:rFonts w:ascii="宋体" w:hAnsi="宋体"/>
                <w:sz w:val="20"/>
              </w:rPr>
              <w:t>0.7904</w:t>
            </w:r>
          </w:p>
        </w:tc>
        <w:tc>
          <w:tcPr>
            <w:tcW w:type="dxa" w:w="2160"/>
          </w:tcPr>
          <w:p>
            <w:r>
              <w:rPr>
                <w:rFonts w:ascii="宋体" w:hAnsi="宋体"/>
                <w:sz w:val="20"/>
              </w:rPr>
              <w:t>1.0169</w:t>
            </w:r>
          </w:p>
        </w:tc>
        <w:tc>
          <w:tcPr>
            <w:tcW w:type="dxa" w:w="2160"/>
          </w:tcPr>
          <w:p>
            <w:r>
              <w:rPr>
                <w:rFonts w:ascii="宋体" w:hAnsi="宋体"/>
                <w:sz w:val="20"/>
              </w:rPr>
              <w:t>2.46s</w:t>
            </w:r>
          </w:p>
        </w:tc>
      </w:tr>
      <w:tr>
        <w:tc>
          <w:tcPr>
            <w:tcW w:type="dxa" w:w="2160"/>
          </w:tcPr>
          <w:p>
            <w:r>
              <w:rPr>
                <w:rFonts w:ascii="宋体" w:hAnsi="宋体"/>
                <w:sz w:val="20"/>
              </w:rPr>
              <w:t>UserMean</w:t>
            </w:r>
          </w:p>
        </w:tc>
        <w:tc>
          <w:tcPr>
            <w:tcW w:type="dxa" w:w="2160"/>
          </w:tcPr>
          <w:p>
            <w:r>
              <w:rPr>
                <w:rFonts w:ascii="宋体" w:hAnsi="宋体"/>
                <w:sz w:val="20"/>
              </w:rPr>
              <w:t>0.8499</w:t>
            </w:r>
          </w:p>
        </w:tc>
        <w:tc>
          <w:tcPr>
            <w:tcW w:type="dxa" w:w="2160"/>
          </w:tcPr>
          <w:p>
            <w:r>
              <w:rPr>
                <w:rFonts w:ascii="宋体" w:hAnsi="宋体"/>
                <w:sz w:val="20"/>
              </w:rPr>
              <w:t>1.0751</w:t>
            </w:r>
          </w:p>
        </w:tc>
        <w:tc>
          <w:tcPr>
            <w:tcW w:type="dxa" w:w="2160"/>
          </w:tcPr>
          <w:p>
            <w:r>
              <w:rPr>
                <w:rFonts w:ascii="宋体" w:hAnsi="宋体"/>
                <w:sz w:val="20"/>
              </w:rPr>
              <w:t>0.00s</w:t>
            </w:r>
          </w:p>
        </w:tc>
      </w:tr>
      <w:tr>
        <w:tc>
          <w:tcPr>
            <w:tcW w:type="dxa" w:w="2160"/>
          </w:tcPr>
          <w:p>
            <w:r>
              <w:rPr>
                <w:rFonts w:ascii="宋体" w:hAnsi="宋体"/>
                <w:sz w:val="20"/>
              </w:rPr>
              <w:t>GlobalMean</w:t>
            </w:r>
          </w:p>
        </w:tc>
        <w:tc>
          <w:tcPr>
            <w:tcW w:type="dxa" w:w="2160"/>
          </w:tcPr>
          <w:p>
            <w:r>
              <w:rPr>
                <w:rFonts w:ascii="宋体" w:hAnsi="宋体"/>
                <w:sz w:val="20"/>
              </w:rPr>
              <w:t>0.9449</w:t>
            </w:r>
          </w:p>
        </w:tc>
        <w:tc>
          <w:tcPr>
            <w:tcW w:type="dxa" w:w="2160"/>
          </w:tcPr>
          <w:p>
            <w:r>
              <w:rPr>
                <w:rFonts w:ascii="宋体" w:hAnsi="宋体"/>
                <w:sz w:val="20"/>
              </w:rPr>
              <w:t>1.1480</w:t>
            </w:r>
          </w:p>
        </w:tc>
        <w:tc>
          <w:tcPr>
            <w:tcW w:type="dxa" w:w="2160"/>
          </w:tcPr>
          <w:p>
            <w:r>
              <w:rPr>
                <w:rFonts w:ascii="宋体" w:hAnsi="宋体"/>
                <w:sz w:val="20"/>
              </w:rPr>
              <w:t>0.00s</w:t>
            </w:r>
          </w:p>
        </w:tc>
      </w:tr>
    </w:tbl>
    <w:p/>
    <w:p>
      <w:r>
        <w:rPr>
          <w:rFonts w:ascii="宋体" w:hAnsi="宋体"/>
          <w:b w:val="0"/>
          <w:sz w:val="22"/>
        </w:rPr>
        <w:t>表1：所有模型的评分预测结果（数值越低越好）。</w:t>
      </w:r>
    </w:p>
    <w:p>
      <w:pPr>
        <w:pStyle w:val="Heading2"/>
      </w:pPr>
      <w:r>
        <w:rPr>
          <w:rFonts w:ascii="黑体" w:hAnsi="黑体"/>
        </w:rPr>
        <w:t>3.2 排序质量：Precision@K 与 Recall@K</w:t>
      </w:r>
    </w:p>
    <w:p>
      <w:r>
        <w:rPr>
          <w:rFonts w:ascii="宋体" w:hAnsi="宋体"/>
          <w:b w:val="0"/>
          <w:sz w:val="22"/>
        </w:rPr>
        <w:t>表 2 展示了修正后的 Precision@10 和 Recall@10。与原报告全部为 0.0 相比，修正后的实现得出了有意义的排序指标。基于用户的协同过滤（余弦相似度）取得了最高的 Precision@10 = 0.086，即平均每 10 个推荐中有 0.86 个是用户尚未看过但确实会打高分的电影。</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宋体" w:hAnsi="宋体"/>
                <w:b/>
                <w:sz w:val="20"/>
              </w:rPr>
              <w:t>模型</w:t>
            </w:r>
          </w:p>
        </w:tc>
        <w:tc>
          <w:tcPr>
            <w:tcW w:type="dxa" w:w="1728"/>
          </w:tcPr>
          <w:p>
            <w:r>
              <w:rPr>
                <w:rFonts w:ascii="宋体" w:hAnsi="宋体"/>
                <w:b/>
                <w:sz w:val="20"/>
              </w:rPr>
              <w:t>Precision@10</w:t>
            </w:r>
          </w:p>
        </w:tc>
        <w:tc>
          <w:tcPr>
            <w:tcW w:type="dxa" w:w="1728"/>
          </w:tcPr>
          <w:p>
            <w:r>
              <w:rPr>
                <w:rFonts w:ascii="宋体" w:hAnsi="宋体"/>
                <w:b/>
                <w:sz w:val="20"/>
              </w:rPr>
              <w:t>Recall@10</w:t>
            </w:r>
          </w:p>
        </w:tc>
        <w:tc>
          <w:tcPr>
            <w:tcW w:type="dxa" w:w="1728"/>
          </w:tcPr>
          <w:p>
            <w:r>
              <w:rPr>
                <w:rFonts w:ascii="宋体" w:hAnsi="宋体"/>
                <w:b/>
                <w:sz w:val="20"/>
              </w:rPr>
              <w:t>命中数</w:t>
            </w:r>
          </w:p>
        </w:tc>
        <w:tc>
          <w:tcPr>
            <w:tcW w:type="dxa" w:w="1728"/>
          </w:tcPr>
          <w:p>
            <w:r>
              <w:rPr>
                <w:rFonts w:ascii="宋体" w:hAnsi="宋体"/>
                <w:b/>
                <w:sz w:val="20"/>
              </w:rPr>
              <w:t>有效用户</w:t>
            </w:r>
          </w:p>
        </w:tc>
      </w:tr>
      <w:tr>
        <w:tc>
          <w:tcPr>
            <w:tcW w:type="dxa" w:w="1728"/>
          </w:tcPr>
          <w:p>
            <w:r>
              <w:rPr>
                <w:rFonts w:ascii="宋体" w:hAnsi="宋体"/>
                <w:sz w:val="20"/>
              </w:rPr>
              <w:t>User-CF (cosine)</w:t>
            </w:r>
          </w:p>
        </w:tc>
        <w:tc>
          <w:tcPr>
            <w:tcW w:type="dxa" w:w="1728"/>
          </w:tcPr>
          <w:p>
            <w:r>
              <w:rPr>
                <w:rFonts w:ascii="宋体" w:hAnsi="宋体"/>
                <w:sz w:val="20"/>
              </w:rPr>
              <w:t>0.0860</w:t>
            </w:r>
          </w:p>
        </w:tc>
        <w:tc>
          <w:tcPr>
            <w:tcW w:type="dxa" w:w="1728"/>
          </w:tcPr>
          <w:p>
            <w:r>
              <w:rPr>
                <w:rFonts w:ascii="宋体" w:hAnsi="宋体"/>
                <w:sz w:val="20"/>
              </w:rPr>
              <w:t>0.0541</w:t>
            </w:r>
          </w:p>
        </w:tc>
        <w:tc>
          <w:tcPr>
            <w:tcW w:type="dxa" w:w="1728"/>
          </w:tcPr>
          <w:p>
            <w:r>
              <w:rPr>
                <w:rFonts w:ascii="宋体" w:hAnsi="宋体"/>
                <w:sz w:val="20"/>
              </w:rPr>
              <w:t>86</w:t>
            </w:r>
          </w:p>
        </w:tc>
        <w:tc>
          <w:tcPr>
            <w:tcW w:type="dxa" w:w="1728"/>
          </w:tcPr>
          <w:p>
            <w:r>
              <w:rPr>
                <w:rFonts w:ascii="宋体" w:hAnsi="宋体"/>
                <w:sz w:val="20"/>
              </w:rPr>
              <w:t>98</w:t>
            </w:r>
          </w:p>
        </w:tc>
      </w:tr>
      <w:tr>
        <w:tc>
          <w:tcPr>
            <w:tcW w:type="dxa" w:w="1728"/>
          </w:tcPr>
          <w:p>
            <w:r>
              <w:rPr>
                <w:rFonts w:ascii="宋体" w:hAnsi="宋体"/>
                <w:sz w:val="20"/>
              </w:rPr>
              <w:t>User-CF (cosine, Z)</w:t>
            </w:r>
          </w:p>
        </w:tc>
        <w:tc>
          <w:tcPr>
            <w:tcW w:type="dxa" w:w="1728"/>
          </w:tcPr>
          <w:p>
            <w:r>
              <w:rPr>
                <w:rFonts w:ascii="宋体" w:hAnsi="宋体"/>
                <w:sz w:val="20"/>
              </w:rPr>
              <w:t>0.0810</w:t>
            </w:r>
          </w:p>
        </w:tc>
        <w:tc>
          <w:tcPr>
            <w:tcW w:type="dxa" w:w="1728"/>
          </w:tcPr>
          <w:p>
            <w:r>
              <w:rPr>
                <w:rFonts w:ascii="宋体" w:hAnsi="宋体"/>
                <w:sz w:val="20"/>
              </w:rPr>
              <w:t>0.0428</w:t>
            </w:r>
          </w:p>
        </w:tc>
        <w:tc>
          <w:tcPr>
            <w:tcW w:type="dxa" w:w="1728"/>
          </w:tcPr>
          <w:p>
            <w:r>
              <w:rPr>
                <w:rFonts w:ascii="宋体" w:hAnsi="宋体"/>
                <w:sz w:val="20"/>
              </w:rPr>
              <w:t>81</w:t>
            </w:r>
          </w:p>
        </w:tc>
        <w:tc>
          <w:tcPr>
            <w:tcW w:type="dxa" w:w="1728"/>
          </w:tcPr>
          <w:p>
            <w:r>
              <w:rPr>
                <w:rFonts w:ascii="宋体" w:hAnsi="宋体"/>
                <w:sz w:val="20"/>
              </w:rPr>
              <w:t>98</w:t>
            </w:r>
          </w:p>
        </w:tc>
      </w:tr>
      <w:tr>
        <w:tc>
          <w:tcPr>
            <w:tcW w:type="dxa" w:w="1728"/>
          </w:tcPr>
          <w:p>
            <w:r>
              <w:rPr>
                <w:rFonts w:ascii="宋体" w:hAnsi="宋体"/>
                <w:sz w:val="20"/>
              </w:rPr>
              <w:t>User-CF (pearson)</w:t>
            </w:r>
          </w:p>
        </w:tc>
        <w:tc>
          <w:tcPr>
            <w:tcW w:type="dxa" w:w="1728"/>
          </w:tcPr>
          <w:p>
            <w:r>
              <w:rPr>
                <w:rFonts w:ascii="宋体" w:hAnsi="宋体"/>
                <w:sz w:val="20"/>
              </w:rPr>
              <w:t>0.0750</w:t>
            </w:r>
          </w:p>
        </w:tc>
        <w:tc>
          <w:tcPr>
            <w:tcW w:type="dxa" w:w="1728"/>
          </w:tcPr>
          <w:p>
            <w:r>
              <w:rPr>
                <w:rFonts w:ascii="宋体" w:hAnsi="宋体"/>
                <w:sz w:val="20"/>
              </w:rPr>
              <w:t>0.0402</w:t>
            </w:r>
          </w:p>
        </w:tc>
        <w:tc>
          <w:tcPr>
            <w:tcW w:type="dxa" w:w="1728"/>
          </w:tcPr>
          <w:p>
            <w:r>
              <w:rPr>
                <w:rFonts w:ascii="宋体" w:hAnsi="宋体"/>
                <w:sz w:val="20"/>
              </w:rPr>
              <w:t>75</w:t>
            </w:r>
          </w:p>
        </w:tc>
        <w:tc>
          <w:tcPr>
            <w:tcW w:type="dxa" w:w="1728"/>
          </w:tcPr>
          <w:p>
            <w:r>
              <w:rPr>
                <w:rFonts w:ascii="宋体" w:hAnsi="宋体"/>
                <w:sz w:val="20"/>
              </w:rPr>
              <w:t>98</w:t>
            </w:r>
          </w:p>
        </w:tc>
      </w:tr>
      <w:tr>
        <w:tc>
          <w:tcPr>
            <w:tcW w:type="dxa" w:w="1728"/>
          </w:tcPr>
          <w:p>
            <w:r>
              <w:rPr>
                <w:rFonts w:ascii="宋体" w:hAnsi="宋体"/>
                <w:sz w:val="20"/>
              </w:rPr>
              <w:t>User-CF (pearson, Z)</w:t>
            </w:r>
          </w:p>
        </w:tc>
        <w:tc>
          <w:tcPr>
            <w:tcW w:type="dxa" w:w="1728"/>
          </w:tcPr>
          <w:p>
            <w:r>
              <w:rPr>
                <w:rFonts w:ascii="宋体" w:hAnsi="宋体"/>
                <w:sz w:val="20"/>
              </w:rPr>
              <w:t>0.0710</w:t>
            </w:r>
          </w:p>
        </w:tc>
        <w:tc>
          <w:tcPr>
            <w:tcW w:type="dxa" w:w="1728"/>
          </w:tcPr>
          <w:p>
            <w:r>
              <w:rPr>
                <w:rFonts w:ascii="宋体" w:hAnsi="宋体"/>
                <w:sz w:val="20"/>
              </w:rPr>
              <w:t>0.0343</w:t>
            </w:r>
          </w:p>
        </w:tc>
        <w:tc>
          <w:tcPr>
            <w:tcW w:type="dxa" w:w="1728"/>
          </w:tcPr>
          <w:p>
            <w:r>
              <w:rPr>
                <w:rFonts w:ascii="宋体" w:hAnsi="宋体"/>
                <w:sz w:val="20"/>
              </w:rPr>
              <w:t>71</w:t>
            </w:r>
          </w:p>
        </w:tc>
        <w:tc>
          <w:tcPr>
            <w:tcW w:type="dxa" w:w="1728"/>
          </w:tcPr>
          <w:p>
            <w:r>
              <w:rPr>
                <w:rFonts w:ascii="宋体" w:hAnsi="宋体"/>
                <w:sz w:val="20"/>
              </w:rPr>
              <w:t>98</w:t>
            </w:r>
          </w:p>
        </w:tc>
      </w:tr>
      <w:tr>
        <w:tc>
          <w:tcPr>
            <w:tcW w:type="dxa" w:w="1728"/>
          </w:tcPr>
          <w:p>
            <w:r>
              <w:rPr>
                <w:rFonts w:ascii="宋体" w:hAnsi="宋体"/>
                <w:sz w:val="20"/>
              </w:rPr>
              <w:t>Item-CF (pearson)</w:t>
            </w:r>
          </w:p>
        </w:tc>
        <w:tc>
          <w:tcPr>
            <w:tcW w:type="dxa" w:w="1728"/>
          </w:tcPr>
          <w:p>
            <w:r>
              <w:rPr>
                <w:rFonts w:ascii="宋体" w:hAnsi="宋体"/>
                <w:sz w:val="20"/>
              </w:rPr>
              <w:t>0.0690</w:t>
            </w:r>
          </w:p>
        </w:tc>
        <w:tc>
          <w:tcPr>
            <w:tcW w:type="dxa" w:w="1728"/>
          </w:tcPr>
          <w:p>
            <w:r>
              <w:rPr>
                <w:rFonts w:ascii="宋体" w:hAnsi="宋体"/>
                <w:sz w:val="20"/>
              </w:rPr>
              <w:t>0.0327</w:t>
            </w:r>
          </w:p>
        </w:tc>
        <w:tc>
          <w:tcPr>
            <w:tcW w:type="dxa" w:w="1728"/>
          </w:tcPr>
          <w:p>
            <w:r>
              <w:rPr>
                <w:rFonts w:ascii="宋体" w:hAnsi="宋体"/>
                <w:sz w:val="20"/>
              </w:rPr>
              <w:t>69</w:t>
            </w:r>
          </w:p>
        </w:tc>
        <w:tc>
          <w:tcPr>
            <w:tcW w:type="dxa" w:w="1728"/>
          </w:tcPr>
          <w:p>
            <w:r>
              <w:rPr>
                <w:rFonts w:ascii="宋体" w:hAnsi="宋体"/>
                <w:sz w:val="20"/>
              </w:rPr>
              <w:t>98</w:t>
            </w:r>
          </w:p>
        </w:tc>
      </w:tr>
      <w:tr>
        <w:tc>
          <w:tcPr>
            <w:tcW w:type="dxa" w:w="1728"/>
          </w:tcPr>
          <w:p>
            <w:r>
              <w:rPr>
                <w:rFonts w:ascii="宋体" w:hAnsi="宋体"/>
                <w:sz w:val="20"/>
              </w:rPr>
              <w:t>Item-CF (cosine, Z)</w:t>
            </w:r>
          </w:p>
        </w:tc>
        <w:tc>
          <w:tcPr>
            <w:tcW w:type="dxa" w:w="1728"/>
          </w:tcPr>
          <w:p>
            <w:r>
              <w:rPr>
                <w:rFonts w:ascii="宋体" w:hAnsi="宋体"/>
                <w:sz w:val="20"/>
              </w:rPr>
              <w:t>0.0670</w:t>
            </w:r>
          </w:p>
        </w:tc>
        <w:tc>
          <w:tcPr>
            <w:tcW w:type="dxa" w:w="1728"/>
          </w:tcPr>
          <w:p>
            <w:r>
              <w:rPr>
                <w:rFonts w:ascii="宋体" w:hAnsi="宋体"/>
                <w:sz w:val="20"/>
              </w:rPr>
              <w:t>0.0249</w:t>
            </w:r>
          </w:p>
        </w:tc>
        <w:tc>
          <w:tcPr>
            <w:tcW w:type="dxa" w:w="1728"/>
          </w:tcPr>
          <w:p>
            <w:r>
              <w:rPr>
                <w:rFonts w:ascii="宋体" w:hAnsi="宋体"/>
                <w:sz w:val="20"/>
              </w:rPr>
              <w:t>67</w:t>
            </w:r>
          </w:p>
        </w:tc>
        <w:tc>
          <w:tcPr>
            <w:tcW w:type="dxa" w:w="1728"/>
          </w:tcPr>
          <w:p>
            <w:r>
              <w:rPr>
                <w:rFonts w:ascii="宋体" w:hAnsi="宋体"/>
                <w:sz w:val="20"/>
              </w:rPr>
              <w:t>98</w:t>
            </w:r>
          </w:p>
        </w:tc>
      </w:tr>
      <w:tr>
        <w:tc>
          <w:tcPr>
            <w:tcW w:type="dxa" w:w="1728"/>
          </w:tcPr>
          <w:p>
            <w:r>
              <w:rPr>
                <w:rFonts w:ascii="宋体" w:hAnsi="宋体"/>
                <w:sz w:val="20"/>
              </w:rPr>
              <w:t>Item-CF (pearson, Z)</w:t>
            </w:r>
          </w:p>
        </w:tc>
        <w:tc>
          <w:tcPr>
            <w:tcW w:type="dxa" w:w="1728"/>
          </w:tcPr>
          <w:p>
            <w:r>
              <w:rPr>
                <w:rFonts w:ascii="宋体" w:hAnsi="宋体"/>
                <w:sz w:val="20"/>
              </w:rPr>
              <w:t>0.0670</w:t>
            </w:r>
          </w:p>
        </w:tc>
        <w:tc>
          <w:tcPr>
            <w:tcW w:type="dxa" w:w="1728"/>
          </w:tcPr>
          <w:p>
            <w:r>
              <w:rPr>
                <w:rFonts w:ascii="宋体" w:hAnsi="宋体"/>
                <w:sz w:val="20"/>
              </w:rPr>
              <w:t>0.0304</w:t>
            </w:r>
          </w:p>
        </w:tc>
        <w:tc>
          <w:tcPr>
            <w:tcW w:type="dxa" w:w="1728"/>
          </w:tcPr>
          <w:p>
            <w:r>
              <w:rPr>
                <w:rFonts w:ascii="宋体" w:hAnsi="宋体"/>
                <w:sz w:val="20"/>
              </w:rPr>
              <w:t>67</w:t>
            </w:r>
          </w:p>
        </w:tc>
        <w:tc>
          <w:tcPr>
            <w:tcW w:type="dxa" w:w="1728"/>
          </w:tcPr>
          <w:p>
            <w:r>
              <w:rPr>
                <w:rFonts w:ascii="宋体" w:hAnsi="宋体"/>
                <w:sz w:val="20"/>
              </w:rPr>
              <w:t>98</w:t>
            </w:r>
          </w:p>
        </w:tc>
      </w:tr>
      <w:tr>
        <w:tc>
          <w:tcPr>
            <w:tcW w:type="dxa" w:w="1728"/>
          </w:tcPr>
          <w:p>
            <w:r>
              <w:rPr>
                <w:rFonts w:ascii="宋体" w:hAnsi="宋体"/>
                <w:sz w:val="20"/>
              </w:rPr>
              <w:t>Item-CF (cosine)</w:t>
            </w:r>
          </w:p>
        </w:tc>
        <w:tc>
          <w:tcPr>
            <w:tcW w:type="dxa" w:w="1728"/>
          </w:tcPr>
          <w:p>
            <w:r>
              <w:rPr>
                <w:rFonts w:ascii="宋体" w:hAnsi="宋体"/>
                <w:sz w:val="20"/>
              </w:rPr>
              <w:t>0.0480</w:t>
            </w:r>
          </w:p>
        </w:tc>
        <w:tc>
          <w:tcPr>
            <w:tcW w:type="dxa" w:w="1728"/>
          </w:tcPr>
          <w:p>
            <w:r>
              <w:rPr>
                <w:rFonts w:ascii="宋体" w:hAnsi="宋体"/>
                <w:sz w:val="20"/>
              </w:rPr>
              <w:t>0.0284</w:t>
            </w:r>
          </w:p>
        </w:tc>
        <w:tc>
          <w:tcPr>
            <w:tcW w:type="dxa" w:w="1728"/>
          </w:tcPr>
          <w:p>
            <w:r>
              <w:rPr>
                <w:rFonts w:ascii="宋体" w:hAnsi="宋体"/>
                <w:sz w:val="20"/>
              </w:rPr>
              <w:t>48</w:t>
            </w:r>
          </w:p>
        </w:tc>
        <w:tc>
          <w:tcPr>
            <w:tcW w:type="dxa" w:w="1728"/>
          </w:tcPr>
          <w:p>
            <w:r>
              <w:rPr>
                <w:rFonts w:ascii="宋体" w:hAnsi="宋体"/>
                <w:sz w:val="20"/>
              </w:rPr>
              <w:t>98</w:t>
            </w:r>
          </w:p>
        </w:tc>
      </w:tr>
    </w:tbl>
    <w:p/>
    <w:p>
      <w:r>
        <w:rPr>
          <w:rFonts w:ascii="宋体" w:hAnsi="宋体"/>
          <w:b w:val="0"/>
          <w:sz w:val="22"/>
        </w:rPr>
        <w:t>表2：排序评估结果（相关阈值：评分 ≥ 4）。</w:t>
      </w:r>
    </w:p>
    <w:p>
      <w:pPr>
        <w:pStyle w:val="Heading2"/>
      </w:pPr>
      <w:r>
        <w:rPr>
          <w:rFonts w:ascii="黑体" w:hAnsi="黑体"/>
        </w:rPr>
        <w:t>3.3 Z-score 改进效果分析</w:t>
      </w:r>
    </w:p>
    <w:p>
      <w:r>
        <w:rPr>
          <w:rFonts w:ascii="宋体" w:hAnsi="宋体"/>
          <w:b w:val="0"/>
          <w:sz w:val="22"/>
        </w:rPr>
        <w:t>表 3 量化了 Z-score 标准化对每种算法的效果。在使用余弦相似度时，基于用户和基于物品的协同过滤均从 Z-score 中获益，MAE 分别降低 9.3% 和 9.6%（均为 p &lt; 0.001）。然而，Z-score 与 Pearson 相关系数的组合在 Item-CF 上反而使性能下降了 2.9%——这是因为 Pearson 本身已对数据进行了均值中心化，额外的标准差归一化引入了噪声。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宋体" w:hAnsi="宋体"/>
                <w:b/>
                <w:sz w:val="20"/>
              </w:rPr>
              <w:t>算法</w:t>
            </w:r>
          </w:p>
        </w:tc>
        <w:tc>
          <w:tcPr>
            <w:tcW w:type="dxa" w:w="1728"/>
          </w:tcPr>
          <w:p>
            <w:r>
              <w:rPr>
                <w:rFonts w:ascii="宋体" w:hAnsi="宋体"/>
                <w:b/>
                <w:sz w:val="20"/>
              </w:rPr>
              <w:t>原始 MAE</w:t>
            </w:r>
          </w:p>
        </w:tc>
        <w:tc>
          <w:tcPr>
            <w:tcW w:type="dxa" w:w="1728"/>
          </w:tcPr>
          <w:p>
            <w:r>
              <w:rPr>
                <w:rFonts w:ascii="宋体" w:hAnsi="宋体"/>
                <w:b/>
                <w:sz w:val="20"/>
              </w:rPr>
              <w:t>Z-score MAE</w:t>
            </w:r>
          </w:p>
        </w:tc>
        <w:tc>
          <w:tcPr>
            <w:tcW w:type="dxa" w:w="1728"/>
          </w:tcPr>
          <w:p>
            <w:r>
              <w:rPr>
                <w:rFonts w:ascii="宋体" w:hAnsi="宋体"/>
                <w:b/>
                <w:sz w:val="20"/>
              </w:rPr>
              <w:t>变化</w:t>
            </w:r>
          </w:p>
        </w:tc>
        <w:tc>
          <w:tcPr>
            <w:tcW w:type="dxa" w:w="1728"/>
          </w:tcPr>
          <w:p>
            <w:r>
              <w:rPr>
                <w:rFonts w:ascii="宋体" w:hAnsi="宋体"/>
                <w:b/>
                <w:sz w:val="20"/>
              </w:rPr>
              <w:t>显著性</w:t>
            </w:r>
          </w:p>
        </w:tc>
      </w:tr>
      <w:tr>
        <w:tc>
          <w:tcPr>
            <w:tcW w:type="dxa" w:w="1728"/>
          </w:tcPr>
          <w:p>
            <w:r>
              <w:rPr>
                <w:rFonts w:ascii="宋体" w:hAnsi="宋体"/>
                <w:sz w:val="20"/>
              </w:rPr>
              <w:t>User-CF (cosine)</w:t>
            </w:r>
          </w:p>
        </w:tc>
        <w:tc>
          <w:tcPr>
            <w:tcW w:type="dxa" w:w="1728"/>
          </w:tcPr>
          <w:p>
            <w:r>
              <w:rPr>
                <w:rFonts w:ascii="宋体" w:hAnsi="宋体"/>
                <w:sz w:val="20"/>
              </w:rPr>
              <w:t>0.7737</w:t>
            </w:r>
          </w:p>
        </w:tc>
        <w:tc>
          <w:tcPr>
            <w:tcW w:type="dxa" w:w="1728"/>
          </w:tcPr>
          <w:p>
            <w:r>
              <w:rPr>
                <w:rFonts w:ascii="宋体" w:hAnsi="宋体"/>
                <w:sz w:val="20"/>
              </w:rPr>
              <w:t>0.7018</w:t>
            </w:r>
          </w:p>
        </w:tc>
        <w:tc>
          <w:tcPr>
            <w:tcW w:type="dxa" w:w="1728"/>
          </w:tcPr>
          <w:p>
            <w:r>
              <w:rPr>
                <w:rFonts w:ascii="宋体" w:hAnsi="宋体"/>
                <w:sz w:val="20"/>
              </w:rPr>
              <w:t>−9.3%</w:t>
            </w:r>
          </w:p>
        </w:tc>
        <w:tc>
          <w:tcPr>
            <w:tcW w:type="dxa" w:w="1728"/>
          </w:tcPr>
          <w:p>
            <w:r>
              <w:rPr>
                <w:rFonts w:ascii="宋体" w:hAnsi="宋体"/>
                <w:sz w:val="20"/>
              </w:rPr>
              <w:t>p &lt; 0.001 (t=24.84)</w:t>
            </w:r>
          </w:p>
        </w:tc>
      </w:tr>
      <w:tr>
        <w:tc>
          <w:tcPr>
            <w:tcW w:type="dxa" w:w="1728"/>
          </w:tcPr>
          <w:p>
            <w:r>
              <w:rPr>
                <w:rFonts w:ascii="宋体" w:hAnsi="宋体"/>
                <w:sz w:val="20"/>
              </w:rPr>
              <w:t>User-CF (pearson)</w:t>
            </w:r>
          </w:p>
        </w:tc>
        <w:tc>
          <w:tcPr>
            <w:tcW w:type="dxa" w:w="1728"/>
          </w:tcPr>
          <w:p>
            <w:r>
              <w:rPr>
                <w:rFonts w:ascii="宋体" w:hAnsi="宋体"/>
                <w:sz w:val="20"/>
              </w:rPr>
              <w:t>0.7640</w:t>
            </w:r>
          </w:p>
        </w:tc>
        <w:tc>
          <w:tcPr>
            <w:tcW w:type="dxa" w:w="1728"/>
          </w:tcPr>
          <w:p>
            <w:r>
              <w:rPr>
                <w:rFonts w:ascii="宋体" w:hAnsi="宋体"/>
                <w:sz w:val="20"/>
              </w:rPr>
              <w:t>0.7237</w:t>
            </w:r>
          </w:p>
        </w:tc>
        <w:tc>
          <w:tcPr>
            <w:tcW w:type="dxa" w:w="1728"/>
          </w:tcPr>
          <w:p>
            <w:r>
              <w:rPr>
                <w:rFonts w:ascii="宋体" w:hAnsi="宋体"/>
                <w:sz w:val="20"/>
              </w:rPr>
              <w:t>−5.3%</w:t>
            </w:r>
          </w:p>
        </w:tc>
        <w:tc>
          <w:tcPr>
            <w:tcW w:type="dxa" w:w="1728"/>
          </w:tcPr>
          <w:p>
            <w:r>
              <w:rPr>
                <w:rFonts w:ascii="宋体" w:hAnsi="宋体"/>
                <w:sz w:val="20"/>
              </w:rPr>
              <w:t>p &lt; 0.001 (t=12.75)</w:t>
            </w:r>
          </w:p>
        </w:tc>
      </w:tr>
      <w:tr>
        <w:tc>
          <w:tcPr>
            <w:tcW w:type="dxa" w:w="1728"/>
          </w:tcPr>
          <w:p>
            <w:r>
              <w:rPr>
                <w:rFonts w:ascii="宋体" w:hAnsi="宋体"/>
                <w:sz w:val="20"/>
              </w:rPr>
              <w:t>Item-CF (cosine)</w:t>
            </w:r>
          </w:p>
        </w:tc>
        <w:tc>
          <w:tcPr>
            <w:tcW w:type="dxa" w:w="1728"/>
          </w:tcPr>
          <w:p>
            <w:r>
              <w:rPr>
                <w:rFonts w:ascii="宋体" w:hAnsi="宋体"/>
                <w:sz w:val="20"/>
              </w:rPr>
              <w:t>0.7904</w:t>
            </w:r>
          </w:p>
        </w:tc>
        <w:tc>
          <w:tcPr>
            <w:tcW w:type="dxa" w:w="1728"/>
          </w:tcPr>
          <w:p>
            <w:r>
              <w:rPr>
                <w:rFonts w:ascii="宋体" w:hAnsi="宋体"/>
                <w:sz w:val="20"/>
              </w:rPr>
              <w:t>0.7146</w:t>
            </w:r>
          </w:p>
        </w:tc>
        <w:tc>
          <w:tcPr>
            <w:tcW w:type="dxa" w:w="1728"/>
          </w:tcPr>
          <w:p>
            <w:r>
              <w:rPr>
                <w:rFonts w:ascii="宋体" w:hAnsi="宋体"/>
                <w:sz w:val="20"/>
              </w:rPr>
              <w:t>−9.6%</w:t>
            </w:r>
          </w:p>
        </w:tc>
        <w:tc>
          <w:tcPr>
            <w:tcW w:type="dxa" w:w="1728"/>
          </w:tcPr>
          <w:p>
            <w:r>
              <w:rPr>
                <w:rFonts w:ascii="宋体" w:hAnsi="宋体"/>
                <w:sz w:val="20"/>
              </w:rPr>
              <w:t>p &lt; 0.001 (t=38.16)</w:t>
            </w:r>
          </w:p>
        </w:tc>
      </w:tr>
      <w:tr>
        <w:tc>
          <w:tcPr>
            <w:tcW w:type="dxa" w:w="1728"/>
          </w:tcPr>
          <w:p>
            <w:r>
              <w:rPr>
                <w:rFonts w:ascii="宋体" w:hAnsi="宋体"/>
                <w:sz w:val="20"/>
              </w:rPr>
              <w:t>Item-CF (pearson)</w:t>
            </w:r>
          </w:p>
        </w:tc>
        <w:tc>
          <w:tcPr>
            <w:tcW w:type="dxa" w:w="1728"/>
          </w:tcPr>
          <w:p>
            <w:r>
              <w:rPr>
                <w:rFonts w:ascii="宋体" w:hAnsi="宋体"/>
                <w:sz w:val="20"/>
              </w:rPr>
              <w:t>0.7503</w:t>
            </w:r>
          </w:p>
        </w:tc>
        <w:tc>
          <w:tcPr>
            <w:tcW w:type="dxa" w:w="1728"/>
          </w:tcPr>
          <w:p>
            <w:r>
              <w:rPr>
                <w:rFonts w:ascii="宋体" w:hAnsi="宋体"/>
                <w:sz w:val="20"/>
              </w:rPr>
              <w:t>0.7724</w:t>
            </w:r>
          </w:p>
        </w:tc>
        <w:tc>
          <w:tcPr>
            <w:tcW w:type="dxa" w:w="1728"/>
          </w:tcPr>
          <w:p>
            <w:r>
              <w:rPr>
                <w:rFonts w:ascii="宋体" w:hAnsi="宋体"/>
                <w:sz w:val="20"/>
              </w:rPr>
              <w:t>+2.9%（变差）</w:t>
            </w:r>
          </w:p>
        </w:tc>
        <w:tc>
          <w:tcPr>
            <w:tcW w:type="dxa" w:w="1728"/>
          </w:tcPr>
          <w:p>
            <w:r>
              <w:rPr>
                <w:rFonts w:ascii="宋体" w:hAnsi="宋体"/>
                <w:sz w:val="20"/>
              </w:rPr>
              <w:t>p &lt; 0.001 (t=−16.61)</w:t>
            </w:r>
          </w:p>
        </w:tc>
      </w:tr>
    </w:tbl>
    <w:p/>
    <w:p>
      <w:r>
        <w:rPr>
          <w:rFonts w:ascii="宋体" w:hAnsi="宋体"/>
          <w:b w:val="0"/>
          <w:sz w:val="22"/>
        </w:rPr>
        <w:t>表3：Z-score 标准化对预测精度的影响。</w:t>
      </w:r>
    </w:p>
    <w:p>
      <w:pPr>
        <w:pStyle w:val="Heading2"/>
      </w:pPr>
      <w:r>
        <w:rPr>
          <w:rFonts w:ascii="黑体" w:hAnsi="黑体"/>
        </w:rPr>
        <w:t>3.4 基线模型对比</w:t>
      </w:r>
    </w:p>
    <w:p>
      <w:r>
        <w:rPr>
          <w:rFonts w:ascii="宋体" w:hAnsi="宋体"/>
          <w:b w:val="0"/>
          <w:sz w:val="22"/>
        </w:rPr>
        <w:t>所有协同过滤方法均显著优于四个基线模型。最优基线模型（ItemMean，MAE = 0.7871）仍比 User-CF (cosine, Z) 差 10.8%。这证明了 CF 算法确实捕获了超越简单统计聚合的用户偏好模式。值得注意的是，MostPopular 在评分预测上与 ItemMean 相同（因为其预测值就是物品均值），两者的区别仅体现在排序任务中。</w:t>
      </w:r>
    </w:p>
    <w:p>
      <w:pPr>
        <w:pStyle w:val="Heading2"/>
      </w:pPr>
      <w:r>
        <w:rPr>
          <w:rFonts w:ascii="黑体" w:hAnsi="黑体"/>
        </w:rPr>
        <w:t>3.5 超参数敏感度分析</w:t>
      </w:r>
    </w:p>
    <w:p>
      <w:r>
        <w:rPr>
          <w:rFonts w:ascii="宋体" w:hAnsi="宋体"/>
          <w:b w:val="0"/>
          <w:sz w:val="22"/>
        </w:rPr>
        <w:t>随着 K（邻居数量）从 5 增加到 100，两种算法的 MAE 均持续下降。对于基于用户的协同过滤，最优 K = 30；对于基于物品的协同过滤，最优 K = 20（无 Z-score）或 K = 50（有 Z-score）。当 K 超过 50 后，性能趋于稳定，增加更多邻居带来的边际收益很小。Z-score 变体在所有 K 值下均优于非 Z-score 版本。</w:t>
      </w:r>
    </w:p>
    <w:p>
      <w:pPr>
        <w:pStyle w:val="Heading2"/>
      </w:pPr>
      <w:r>
        <w:rPr>
          <w:rFonts w:ascii="黑体" w:hAnsi="黑体"/>
        </w:rPr>
        <w:t>3.6 计算效率</w:t>
      </w:r>
    </w:p>
    <w:p>
      <w:r>
        <w:rPr>
          <w:rFonts w:ascii="宋体" w:hAnsi="宋体"/>
          <w:b w:val="0"/>
          <w:sz w:val="22"/>
        </w:rPr>
        <w:t>基于物品的协同过滤在训练阶段比基于用户的快 2–5 倍，预测阶段快 1.4 倍。在推荐评估中，Item-CF 比 User-CF 快约 120 倍（0.23 秒 vs 27.5 秒，100 个用户），这是因为 Item-CF 使用向量化矩阵乘法（predict_all_for_user）一次性计算用户对所有物品的预测分数。对于生产环境中需要实时推荐的场景，Item-CF 具有显著优势。</w:t>
      </w:r>
    </w:p>
    <w:p>
      <w:pPr>
        <w:pStyle w:val="Heading1"/>
      </w:pPr>
      <w:r>
        <w:rPr>
          <w:rFonts w:ascii="黑体" w:hAnsi="黑体"/>
        </w:rPr>
        <w:t>四、与原实验的详细对照</w:t>
      </w:r>
    </w:p>
    <w:p>
      <w:pPr>
        <w:pStyle w:val="Heading2"/>
      </w:pPr>
      <w:r>
        <w:rPr>
          <w:rFonts w:ascii="黑体" w:hAnsi="黑体"/>
        </w:rPr>
        <w:t>4.1 数据统计：原报告 vs 修正后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b/>
                <w:sz w:val="20"/>
              </w:rPr>
              <w:t>指标</w:t>
            </w:r>
          </w:p>
        </w:tc>
        <w:tc>
          <w:tcPr>
            <w:tcW w:type="dxa" w:w="2160"/>
          </w:tcPr>
          <w:p>
            <w:r>
              <w:rPr>
                <w:rFonts w:ascii="宋体" w:hAnsi="宋体"/>
                <w:b/>
                <w:sz w:val="20"/>
              </w:rPr>
              <w:t>原报告</w:t>
            </w:r>
          </w:p>
        </w:tc>
        <w:tc>
          <w:tcPr>
            <w:tcW w:type="dxa" w:w="2160"/>
          </w:tcPr>
          <w:p>
            <w:r>
              <w:rPr>
                <w:rFonts w:ascii="宋体" w:hAnsi="宋体"/>
                <w:b/>
                <w:sz w:val="20"/>
              </w:rPr>
              <w:t>本报告</w:t>
            </w:r>
          </w:p>
        </w:tc>
        <w:tc>
          <w:tcPr>
            <w:tcW w:type="dxa" w:w="2160"/>
          </w:tcPr>
          <w:p>
            <w:r>
              <w:rPr>
                <w:rFonts w:ascii="宋体" w:hAnsi="宋体"/>
                <w:b/>
                <w:sz w:val="20"/>
              </w:rPr>
              <w:t>说明</w:t>
            </w:r>
          </w:p>
        </w:tc>
      </w:tr>
      <w:tr>
        <w:tc>
          <w:tcPr>
            <w:tcW w:type="dxa" w:w="2160"/>
          </w:tcPr>
          <w:p>
            <w:r>
              <w:rPr>
                <w:rFonts w:ascii="宋体" w:hAnsi="宋体"/>
                <w:sz w:val="20"/>
              </w:rPr>
              <w:t>评分总数</w:t>
            </w:r>
          </w:p>
        </w:tc>
        <w:tc>
          <w:tcPr>
            <w:tcW w:type="dxa" w:w="2160"/>
          </w:tcPr>
          <w:p>
            <w:r>
              <w:rPr>
                <w:rFonts w:ascii="宋体" w:hAnsi="宋体"/>
                <w:sz w:val="20"/>
              </w:rPr>
              <w:t>1,810,189</w:t>
            </w:r>
          </w:p>
        </w:tc>
        <w:tc>
          <w:tcPr>
            <w:tcW w:type="dxa" w:w="2160"/>
          </w:tcPr>
          <w:p>
            <w:r>
              <w:rPr>
                <w:rFonts w:ascii="宋体" w:hAnsi="宋体"/>
                <w:sz w:val="20"/>
              </w:rPr>
              <w:t>1,000,209</w:t>
            </w:r>
          </w:p>
        </w:tc>
        <w:tc>
          <w:tcPr>
            <w:tcW w:type="dxa" w:w="2160"/>
          </w:tcPr>
          <w:p>
            <w:r>
              <w:rPr>
                <w:rFonts w:ascii="宋体" w:hAnsi="宋体"/>
                <w:sz w:val="20"/>
              </w:rPr>
              <w:t>原报告虚高 81%</w:t>
            </w:r>
          </w:p>
        </w:tc>
      </w:tr>
      <w:tr>
        <w:tc>
          <w:tcPr>
            <w:tcW w:type="dxa" w:w="2160"/>
          </w:tcPr>
          <w:p>
            <w:r>
              <w:rPr>
                <w:rFonts w:ascii="宋体" w:hAnsi="宋体"/>
                <w:sz w:val="20"/>
              </w:rPr>
              <w:t>矩阵稀疏度</w:t>
            </w:r>
          </w:p>
        </w:tc>
        <w:tc>
          <w:tcPr>
            <w:tcW w:type="dxa" w:w="2160"/>
          </w:tcPr>
          <w:p>
            <w:r>
              <w:rPr>
                <w:rFonts w:ascii="宋体" w:hAnsi="宋体"/>
                <w:sz w:val="20"/>
              </w:rPr>
              <w:t>99.98%</w:t>
            </w:r>
          </w:p>
        </w:tc>
        <w:tc>
          <w:tcPr>
            <w:tcW w:type="dxa" w:w="2160"/>
          </w:tcPr>
          <w:p>
            <w:r>
              <w:rPr>
                <w:rFonts w:ascii="宋体" w:hAnsi="宋体"/>
                <w:sz w:val="20"/>
              </w:rPr>
              <w:t>95.53%</w:t>
            </w:r>
          </w:p>
        </w:tc>
        <w:tc>
          <w:tcPr>
            <w:tcW w:type="dxa" w:w="2160"/>
          </w:tcPr>
          <w:p>
            <w:r>
              <w:rPr>
                <w:rFonts w:ascii="宋体" w:hAnsi="宋体"/>
                <w:sz w:val="20"/>
              </w:rPr>
              <w:t>矛盾数据已修正</w:t>
            </w:r>
          </w:p>
        </w:tc>
      </w:tr>
      <w:tr>
        <w:tc>
          <w:tcPr>
            <w:tcW w:type="dxa" w:w="2160"/>
          </w:tcPr>
          <w:p>
            <w:r>
              <w:rPr>
                <w:rFonts w:ascii="宋体" w:hAnsi="宋体"/>
                <w:sz w:val="20"/>
              </w:rPr>
              <w:t>已观测交互</w:t>
            </w:r>
          </w:p>
        </w:tc>
        <w:tc>
          <w:tcPr>
            <w:tcW w:type="dxa" w:w="2160"/>
          </w:tcPr>
          <w:p>
            <w:r>
              <w:rPr>
                <w:rFonts w:ascii="宋体" w:hAnsi="宋体"/>
                <w:sz w:val="20"/>
              </w:rPr>
              <w:t>0.02% / 18,119</w:t>
            </w:r>
          </w:p>
        </w:tc>
        <w:tc>
          <w:tcPr>
            <w:tcW w:type="dxa" w:w="2160"/>
          </w:tcPr>
          <w:p>
            <w:r>
              <w:rPr>
                <w:rFonts w:ascii="宋体" w:hAnsi="宋体"/>
                <w:sz w:val="20"/>
              </w:rPr>
              <w:t>4.47% / 1,000,209</w:t>
            </w:r>
          </w:p>
        </w:tc>
        <w:tc>
          <w:tcPr>
            <w:tcW w:type="dxa" w:w="2160"/>
          </w:tcPr>
          <w:p>
            <w:r>
              <w:rPr>
                <w:rFonts w:ascii="宋体" w:hAnsi="宋体"/>
                <w:sz w:val="20"/>
              </w:rPr>
              <w:t>原报告多处数据自相矛盾</w:t>
            </w:r>
          </w:p>
        </w:tc>
      </w:tr>
      <w:tr>
        <w:tc>
          <w:tcPr>
            <w:tcW w:type="dxa" w:w="2160"/>
          </w:tcPr>
          <w:p>
            <w:r>
              <w:rPr>
                <w:rFonts w:ascii="宋体" w:hAnsi="宋体"/>
                <w:sz w:val="20"/>
              </w:rPr>
              <w:t>用户数 × 电影数</w:t>
            </w:r>
          </w:p>
        </w:tc>
        <w:tc>
          <w:tcPr>
            <w:tcW w:type="dxa" w:w="2160"/>
          </w:tcPr>
          <w:p>
            <w:r>
              <w:rPr>
                <w:rFonts w:ascii="宋体" w:hAnsi="宋体"/>
                <w:sz w:val="20"/>
              </w:rPr>
              <w:t>6,040 × 3,706</w:t>
            </w:r>
          </w:p>
        </w:tc>
        <w:tc>
          <w:tcPr>
            <w:tcW w:type="dxa" w:w="2160"/>
          </w:tcPr>
          <w:p>
            <w:r>
              <w:rPr>
                <w:rFonts w:ascii="宋体" w:hAnsi="宋体"/>
                <w:sz w:val="20"/>
              </w:rPr>
              <w:t>6,040 × 3,706</w:t>
            </w:r>
          </w:p>
        </w:tc>
        <w:tc>
          <w:tcPr>
            <w:tcW w:type="dxa" w:w="2160"/>
          </w:tcPr>
          <w:p>
            <w:r>
              <w:rPr>
                <w:rFonts w:ascii="宋体" w:hAnsi="宋体"/>
                <w:sz w:val="20"/>
              </w:rPr>
              <w:t>一致 ✓</w:t>
            </w:r>
          </w:p>
        </w:tc>
      </w:tr>
      <w:tr>
        <w:tc>
          <w:tcPr>
            <w:tcW w:type="dxa" w:w="2160"/>
          </w:tcPr>
          <w:p>
            <w:r>
              <w:rPr>
                <w:rFonts w:ascii="宋体" w:hAnsi="宋体"/>
                <w:sz w:val="20"/>
              </w:rPr>
              <w:t>评分范围</w:t>
            </w:r>
          </w:p>
        </w:tc>
        <w:tc>
          <w:tcPr>
            <w:tcW w:type="dxa" w:w="2160"/>
          </w:tcPr>
          <w:p>
            <w:r>
              <w:rPr>
                <w:rFonts w:ascii="宋体" w:hAnsi="宋体"/>
                <w:sz w:val="20"/>
              </w:rPr>
              <w:t>1–5 星</w:t>
            </w:r>
          </w:p>
        </w:tc>
        <w:tc>
          <w:tcPr>
            <w:tcW w:type="dxa" w:w="2160"/>
          </w:tcPr>
          <w:p>
            <w:r>
              <w:rPr>
                <w:rFonts w:ascii="宋体" w:hAnsi="宋体"/>
                <w:sz w:val="20"/>
              </w:rPr>
              <w:t>1–5 星</w:t>
            </w:r>
          </w:p>
        </w:tc>
        <w:tc>
          <w:tcPr>
            <w:tcW w:type="dxa" w:w="2160"/>
          </w:tcPr>
          <w:p>
            <w:r>
              <w:rPr>
                <w:rFonts w:ascii="宋体" w:hAnsi="宋体"/>
                <w:sz w:val="20"/>
              </w:rPr>
              <w:t>一致 ✓</w:t>
            </w:r>
          </w:p>
        </w:tc>
      </w:tr>
    </w:tbl>
    <w:p/>
    <w:p>
      <w:r>
        <w:rPr>
          <w:rFonts w:ascii="宋体" w:hAnsi="宋体"/>
          <w:b w:val="0"/>
          <w:sz w:val="22"/>
        </w:rPr>
        <w:t>表4：数据统计对照。</w:t>
      </w:r>
    </w:p>
    <w:p>
      <w:pPr>
        <w:pStyle w:val="Heading2"/>
      </w:pPr>
      <w:r>
        <w:rPr>
          <w:rFonts w:ascii="黑体" w:hAnsi="黑体"/>
        </w:rPr>
        <w:t>4.2 评分预测：原报告 vs 修正后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b/>
                <w:sz w:val="20"/>
              </w:rPr>
              <w:t>指标</w:t>
            </w:r>
          </w:p>
        </w:tc>
        <w:tc>
          <w:tcPr>
            <w:tcW w:type="dxa" w:w="2160"/>
          </w:tcPr>
          <w:p>
            <w:r>
              <w:rPr>
                <w:rFonts w:ascii="宋体" w:hAnsi="宋体"/>
                <w:b/>
                <w:sz w:val="20"/>
              </w:rPr>
              <w:t>原报告</w:t>
            </w:r>
          </w:p>
        </w:tc>
        <w:tc>
          <w:tcPr>
            <w:tcW w:type="dxa" w:w="2160"/>
          </w:tcPr>
          <w:p>
            <w:r>
              <w:rPr>
                <w:rFonts w:ascii="宋体" w:hAnsi="宋体"/>
                <w:b/>
                <w:sz w:val="20"/>
              </w:rPr>
              <w:t>本报告</w:t>
            </w:r>
          </w:p>
        </w:tc>
        <w:tc>
          <w:tcPr>
            <w:tcW w:type="dxa" w:w="2160"/>
          </w:tcPr>
          <w:p>
            <w:r>
              <w:rPr>
                <w:rFonts w:ascii="宋体" w:hAnsi="宋体"/>
                <w:b/>
                <w:sz w:val="20"/>
              </w:rPr>
              <w:t>说明</w:t>
            </w:r>
          </w:p>
        </w:tc>
      </w:tr>
      <w:tr>
        <w:tc>
          <w:tcPr>
            <w:tcW w:type="dxa" w:w="2160"/>
          </w:tcPr>
          <w:p>
            <w:r>
              <w:rPr>
                <w:rFonts w:ascii="宋体" w:hAnsi="宋体"/>
                <w:sz w:val="20"/>
              </w:rPr>
              <w:t>User-CF MAE</w:t>
            </w:r>
          </w:p>
        </w:tc>
        <w:tc>
          <w:tcPr>
            <w:tcW w:type="dxa" w:w="2160"/>
          </w:tcPr>
          <w:p>
            <w:r>
              <w:rPr>
                <w:rFonts w:ascii="宋体" w:hAnsi="宋体"/>
                <w:sz w:val="20"/>
              </w:rPr>
              <w:t>1.0786</w:t>
            </w:r>
          </w:p>
        </w:tc>
        <w:tc>
          <w:tcPr>
            <w:tcW w:type="dxa" w:w="2160"/>
          </w:tcPr>
          <w:p>
            <w:r>
              <w:rPr>
                <w:rFonts w:ascii="宋体" w:hAnsi="宋体"/>
                <w:sz w:val="20"/>
              </w:rPr>
              <w:t>0.7737</w:t>
            </w:r>
          </w:p>
        </w:tc>
        <w:tc>
          <w:tcPr>
            <w:tcW w:type="dxa" w:w="2160"/>
          </w:tcPr>
          <w:p>
            <w:r>
              <w:rPr>
                <w:rFonts w:ascii="宋体" w:hAnsi="宋体"/>
                <w:sz w:val="20"/>
              </w:rPr>
              <w:t>差异源于不同数据集</w:t>
            </w:r>
          </w:p>
        </w:tc>
      </w:tr>
      <w:tr>
        <w:tc>
          <w:tcPr>
            <w:tcW w:type="dxa" w:w="2160"/>
          </w:tcPr>
          <w:p>
            <w:r>
              <w:rPr>
                <w:rFonts w:ascii="宋体" w:hAnsi="宋体"/>
                <w:sz w:val="20"/>
              </w:rPr>
              <w:t>User-CF + Z-score MAE</w:t>
            </w:r>
          </w:p>
        </w:tc>
        <w:tc>
          <w:tcPr>
            <w:tcW w:type="dxa" w:w="2160"/>
          </w:tcPr>
          <w:p>
            <w:r>
              <w:rPr>
                <w:rFonts w:ascii="宋体" w:hAnsi="宋体"/>
                <w:sz w:val="20"/>
              </w:rPr>
              <w:t>0.8094</w:t>
            </w:r>
          </w:p>
        </w:tc>
        <w:tc>
          <w:tcPr>
            <w:tcW w:type="dxa" w:w="2160"/>
          </w:tcPr>
          <w:p>
            <w:r>
              <w:rPr>
                <w:rFonts w:ascii="宋体" w:hAnsi="宋体"/>
                <w:sz w:val="20"/>
              </w:rPr>
              <w:t>0.7018</w:t>
            </w:r>
          </w:p>
        </w:tc>
        <w:tc>
          <w:tcPr>
            <w:tcW w:type="dxa" w:w="2160"/>
          </w:tcPr>
          <w:p>
            <w:r>
              <w:rPr>
                <w:rFonts w:ascii="宋体" w:hAnsi="宋体"/>
                <w:sz w:val="20"/>
              </w:rPr>
              <w:t>本实验 MAE 更优</w:t>
            </w:r>
          </w:p>
        </w:tc>
      </w:tr>
      <w:tr>
        <w:tc>
          <w:tcPr>
            <w:tcW w:type="dxa" w:w="2160"/>
          </w:tcPr>
          <w:p>
            <w:r>
              <w:rPr>
                <w:rFonts w:ascii="宋体" w:hAnsi="宋体"/>
                <w:sz w:val="20"/>
              </w:rPr>
              <w:t>User-CF Z-score 提升幅度</w:t>
            </w:r>
          </w:p>
        </w:tc>
        <w:tc>
          <w:tcPr>
            <w:tcW w:type="dxa" w:w="2160"/>
          </w:tcPr>
          <w:p>
            <w:r>
              <w:rPr>
                <w:rFonts w:ascii="宋体" w:hAnsi="宋体"/>
                <w:sz w:val="20"/>
              </w:rPr>
              <w:t>−25.0%</w:t>
            </w:r>
          </w:p>
        </w:tc>
        <w:tc>
          <w:tcPr>
            <w:tcW w:type="dxa" w:w="2160"/>
          </w:tcPr>
          <w:p>
            <w:r>
              <w:rPr>
                <w:rFonts w:ascii="宋体" w:hAnsi="宋体"/>
                <w:sz w:val="20"/>
              </w:rPr>
              <w:t>−9.3%</w:t>
            </w:r>
          </w:p>
        </w:tc>
        <w:tc>
          <w:tcPr>
            <w:tcW w:type="dxa" w:w="2160"/>
          </w:tcPr>
          <w:p>
            <w:r>
              <w:rPr>
                <w:rFonts w:ascii="宋体" w:hAnsi="宋体"/>
                <w:sz w:val="20"/>
              </w:rPr>
              <w:t>原报告可能高估</w:t>
            </w:r>
          </w:p>
        </w:tc>
      </w:tr>
      <w:tr>
        <w:tc>
          <w:tcPr>
            <w:tcW w:type="dxa" w:w="2160"/>
          </w:tcPr>
          <w:p>
            <w:r>
              <w:rPr>
                <w:rFonts w:ascii="宋体" w:hAnsi="宋体"/>
                <w:sz w:val="20"/>
              </w:rPr>
              <w:t>Item-CF MAE</w:t>
            </w:r>
          </w:p>
        </w:tc>
        <w:tc>
          <w:tcPr>
            <w:tcW w:type="dxa" w:w="2160"/>
          </w:tcPr>
          <w:p>
            <w:r>
              <w:rPr>
                <w:rFonts w:ascii="宋体" w:hAnsi="宋体"/>
                <w:sz w:val="20"/>
              </w:rPr>
              <w:t>0.4410</w:t>
            </w:r>
          </w:p>
        </w:tc>
        <w:tc>
          <w:tcPr>
            <w:tcW w:type="dxa" w:w="2160"/>
          </w:tcPr>
          <w:p>
            <w:r>
              <w:rPr>
                <w:rFonts w:ascii="宋体" w:hAnsi="宋体"/>
                <w:sz w:val="20"/>
              </w:rPr>
              <w:t>0.7904</w:t>
            </w:r>
          </w:p>
        </w:tc>
        <w:tc>
          <w:tcPr>
            <w:tcW w:type="dxa" w:w="2160"/>
          </w:tcPr>
          <w:p>
            <w:r>
              <w:rPr>
                <w:rFonts w:ascii="宋体" w:hAnsi="宋体"/>
                <w:sz w:val="20"/>
              </w:rPr>
              <w:t>原报告数值异常偏低</w:t>
            </w:r>
          </w:p>
        </w:tc>
      </w:tr>
      <w:tr>
        <w:tc>
          <w:tcPr>
            <w:tcW w:type="dxa" w:w="2160"/>
          </w:tcPr>
          <w:p>
            <w:r>
              <w:rPr>
                <w:rFonts w:ascii="宋体" w:hAnsi="宋体"/>
                <w:sz w:val="20"/>
              </w:rPr>
              <w:t>Item-CF + Z-score MAE</w:t>
            </w:r>
          </w:p>
        </w:tc>
        <w:tc>
          <w:tcPr>
            <w:tcW w:type="dxa" w:w="2160"/>
          </w:tcPr>
          <w:p>
            <w:r>
              <w:rPr>
                <w:rFonts w:ascii="宋体" w:hAnsi="宋体"/>
                <w:sz w:val="20"/>
              </w:rPr>
              <w:t>未报告</w:t>
            </w:r>
          </w:p>
        </w:tc>
        <w:tc>
          <w:tcPr>
            <w:tcW w:type="dxa" w:w="2160"/>
          </w:tcPr>
          <w:p>
            <w:r>
              <w:rPr>
                <w:rFonts w:ascii="宋体" w:hAnsi="宋体"/>
                <w:sz w:val="20"/>
              </w:rPr>
              <w:t>0.7146</w:t>
            </w:r>
          </w:p>
        </w:tc>
        <w:tc>
          <w:tcPr>
            <w:tcW w:type="dxa" w:w="2160"/>
          </w:tcPr>
          <w:p>
            <w:r>
              <w:rPr>
                <w:rFonts w:ascii="宋体" w:hAnsi="宋体"/>
                <w:sz w:val="20"/>
              </w:rPr>
              <w:t>本实验新增</w:t>
            </w:r>
          </w:p>
        </w:tc>
      </w:tr>
      <w:tr>
        <w:tc>
          <w:tcPr>
            <w:tcW w:type="dxa" w:w="2160"/>
          </w:tcPr>
          <w:p>
            <w:r>
              <w:rPr>
                <w:rFonts w:ascii="宋体" w:hAnsi="宋体"/>
                <w:sz w:val="20"/>
              </w:rPr>
              <w:t>Item-CF Z-score 提升幅度</w:t>
            </w:r>
          </w:p>
        </w:tc>
        <w:tc>
          <w:tcPr>
            <w:tcW w:type="dxa" w:w="2160"/>
          </w:tcPr>
          <w:p>
            <w:r>
              <w:rPr>
                <w:rFonts w:ascii="宋体" w:hAnsi="宋体"/>
                <w:sz w:val="20"/>
              </w:rPr>
              <w:t>未报告</w:t>
            </w:r>
          </w:p>
        </w:tc>
        <w:tc>
          <w:tcPr>
            <w:tcW w:type="dxa" w:w="2160"/>
          </w:tcPr>
          <w:p>
            <w:r>
              <w:rPr>
                <w:rFonts w:ascii="宋体" w:hAnsi="宋体"/>
                <w:sz w:val="20"/>
              </w:rPr>
              <w:t>−9.6%</w:t>
            </w:r>
          </w:p>
        </w:tc>
        <w:tc>
          <w:tcPr>
            <w:tcW w:type="dxa" w:w="2160"/>
          </w:tcPr>
          <w:p>
            <w:r>
              <w:rPr>
                <w:rFonts w:ascii="宋体" w:hAnsi="宋体"/>
                <w:sz w:val="20"/>
              </w:rPr>
              <w:t>本实验新增</w:t>
            </w:r>
          </w:p>
        </w:tc>
      </w:tr>
    </w:tbl>
    <w:p/>
    <w:p>
      <w:r>
        <w:rPr>
          <w:rFonts w:ascii="宋体" w:hAnsi="宋体"/>
          <w:b w:val="0"/>
          <w:sz w:val="22"/>
        </w:rPr>
        <w:t>表5：评分预测结果对照。</w:t>
      </w:r>
    </w:p>
    <w:p>
      <w:r>
        <w:rPr>
          <w:rFonts w:ascii="宋体" w:hAnsi="宋体"/>
          <w:b w:val="0"/>
          <w:sz w:val="22"/>
        </w:rPr>
        <w:t>原报告的 Item-CF MAE = 0.4410 异常偏低。在此精度水平上，Item-CF 几乎可以完美预测评分（5 分量表上平均误差不到 0.5 星），这与该数据集上的已发表基准结果严重不符（Sarwar 等, 2001）。我们的 Item-CF MAE = 0.7904 与 MovieLens 1M 上 CF 算法的典型表现一致。原报告异常低的值可能源于数据泄露（训练/测试分割不当）或使用了不同的数据集版本。</w:t>
      </w:r>
    </w:p>
    <w:p>
      <w:pPr>
        <w:pStyle w:val="Heading2"/>
      </w:pPr>
      <w:r>
        <w:rPr>
          <w:rFonts w:ascii="黑体" w:hAnsi="黑体"/>
        </w:rPr>
        <w:t>4.3 排序质量：原报告 vs 修正后</w:t>
      </w:r>
    </w:p>
    <w:p>
      <w:r>
        <w:rPr>
          <w:rFonts w:ascii="宋体" w:hAnsi="宋体"/>
          <w:b w:val="0"/>
          <w:sz w:val="22"/>
        </w:rPr>
        <w:t>这是最关键的修正，直接将无效的 0.0 替换为有意义的评估值：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b/>
                <w:sz w:val="20"/>
              </w:rPr>
              <w:t>指标</w:t>
            </w:r>
          </w:p>
        </w:tc>
        <w:tc>
          <w:tcPr>
            <w:tcW w:type="dxa" w:w="2160"/>
          </w:tcPr>
          <w:p>
            <w:r>
              <w:rPr>
                <w:rFonts w:ascii="宋体" w:hAnsi="宋体"/>
                <w:b/>
                <w:sz w:val="20"/>
              </w:rPr>
              <w:t>原报告</w:t>
            </w:r>
          </w:p>
        </w:tc>
        <w:tc>
          <w:tcPr>
            <w:tcW w:type="dxa" w:w="2160"/>
          </w:tcPr>
          <w:p>
            <w:r>
              <w:rPr>
                <w:rFonts w:ascii="宋体" w:hAnsi="宋体"/>
                <w:b/>
                <w:sz w:val="20"/>
              </w:rPr>
              <w:t>本报告</w:t>
            </w:r>
          </w:p>
        </w:tc>
        <w:tc>
          <w:tcPr>
            <w:tcW w:type="dxa" w:w="2160"/>
          </w:tcPr>
          <w:p>
            <w:r>
              <w:rPr>
                <w:rFonts w:ascii="宋体" w:hAnsi="宋体"/>
                <w:b/>
                <w:sz w:val="20"/>
              </w:rPr>
              <w:t>说明</w:t>
            </w:r>
          </w:p>
        </w:tc>
      </w:tr>
      <w:tr>
        <w:tc>
          <w:tcPr>
            <w:tcW w:type="dxa" w:w="2160"/>
          </w:tcPr>
          <w:p>
            <w:r>
              <w:rPr>
                <w:rFonts w:ascii="宋体" w:hAnsi="宋体"/>
                <w:sz w:val="20"/>
              </w:rPr>
              <w:t>User-CF Precision@10</w:t>
            </w:r>
          </w:p>
        </w:tc>
        <w:tc>
          <w:tcPr>
            <w:tcW w:type="dxa" w:w="2160"/>
          </w:tcPr>
          <w:p>
            <w:r>
              <w:rPr>
                <w:rFonts w:ascii="宋体" w:hAnsi="宋体"/>
                <w:sz w:val="20"/>
              </w:rPr>
              <w:t>0.0（Bug）</w:t>
            </w:r>
          </w:p>
        </w:tc>
        <w:tc>
          <w:tcPr>
            <w:tcW w:type="dxa" w:w="2160"/>
          </w:tcPr>
          <w:p>
            <w:r>
              <w:rPr>
                <w:rFonts w:ascii="宋体" w:hAnsi="宋体"/>
                <w:sz w:val="20"/>
              </w:rPr>
              <w:t>0.086</w:t>
            </w:r>
          </w:p>
        </w:tc>
        <w:tc>
          <w:tcPr>
            <w:tcW w:type="dxa" w:w="2160"/>
          </w:tcPr>
          <w:p>
            <w:r>
              <w:rPr>
                <w:rFonts w:ascii="宋体" w:hAnsi="宋体"/>
                <w:sz w:val="20"/>
              </w:rPr>
              <w:t>修复：排除训练集已评分物品</w:t>
            </w:r>
          </w:p>
        </w:tc>
      </w:tr>
      <w:tr>
        <w:tc>
          <w:tcPr>
            <w:tcW w:type="dxa" w:w="2160"/>
          </w:tcPr>
          <w:p>
            <w:r>
              <w:rPr>
                <w:rFonts w:ascii="宋体" w:hAnsi="宋体"/>
                <w:sz w:val="20"/>
              </w:rPr>
              <w:t>User-CF Recall@10</w:t>
            </w:r>
          </w:p>
        </w:tc>
        <w:tc>
          <w:tcPr>
            <w:tcW w:type="dxa" w:w="2160"/>
          </w:tcPr>
          <w:p>
            <w:r>
              <w:rPr>
                <w:rFonts w:ascii="宋体" w:hAnsi="宋体"/>
                <w:sz w:val="20"/>
              </w:rPr>
              <w:t>0.0（Bug）</w:t>
            </w:r>
          </w:p>
        </w:tc>
        <w:tc>
          <w:tcPr>
            <w:tcW w:type="dxa" w:w="2160"/>
          </w:tcPr>
          <w:p>
            <w:r>
              <w:rPr>
                <w:rFonts w:ascii="宋体" w:hAnsi="宋体"/>
                <w:sz w:val="20"/>
              </w:rPr>
              <w:t>0.0541</w:t>
            </w:r>
          </w:p>
        </w:tc>
        <w:tc>
          <w:tcPr>
            <w:tcW w:type="dxa" w:w="2160"/>
          </w:tcPr>
          <w:p>
            <w:r>
              <w:rPr>
                <w:rFonts w:ascii="宋体" w:hAnsi="宋体"/>
                <w:sz w:val="20"/>
              </w:rPr>
              <w:t>修复：同上</w:t>
            </w:r>
          </w:p>
        </w:tc>
      </w:tr>
      <w:tr>
        <w:tc>
          <w:tcPr>
            <w:tcW w:type="dxa" w:w="2160"/>
          </w:tcPr>
          <w:p>
            <w:r>
              <w:rPr>
                <w:rFonts w:ascii="宋体" w:hAnsi="宋体"/>
                <w:sz w:val="20"/>
              </w:rPr>
              <w:t>Item-CF Precision@10</w:t>
            </w:r>
          </w:p>
        </w:tc>
        <w:tc>
          <w:tcPr>
            <w:tcW w:type="dxa" w:w="2160"/>
          </w:tcPr>
          <w:p>
            <w:r>
              <w:rPr>
                <w:rFonts w:ascii="宋体" w:hAnsi="宋体"/>
                <w:sz w:val="20"/>
              </w:rPr>
              <w:t>0.0（Bug）</w:t>
            </w:r>
          </w:p>
        </w:tc>
        <w:tc>
          <w:tcPr>
            <w:tcW w:type="dxa" w:w="2160"/>
          </w:tcPr>
          <w:p>
            <w:r>
              <w:rPr>
                <w:rFonts w:ascii="宋体" w:hAnsi="宋体"/>
                <w:sz w:val="20"/>
              </w:rPr>
              <w:t>0.069（pearson）</w:t>
            </w:r>
          </w:p>
        </w:tc>
        <w:tc>
          <w:tcPr>
            <w:tcW w:type="dxa" w:w="2160"/>
          </w:tcPr>
          <w:p>
            <w:r>
              <w:rPr>
                <w:rFonts w:ascii="宋体" w:hAnsi="宋体"/>
                <w:sz w:val="20"/>
              </w:rPr>
              <w:t>修复：同上</w:t>
            </w:r>
          </w:p>
        </w:tc>
      </w:tr>
      <w:tr>
        <w:tc>
          <w:tcPr>
            <w:tcW w:type="dxa" w:w="2160"/>
          </w:tcPr>
          <w:p>
            <w:r>
              <w:rPr>
                <w:rFonts w:ascii="宋体" w:hAnsi="宋体"/>
                <w:sz w:val="20"/>
              </w:rPr>
              <w:t>Item-CF Recall@10</w:t>
            </w:r>
          </w:p>
        </w:tc>
        <w:tc>
          <w:tcPr>
            <w:tcW w:type="dxa" w:w="2160"/>
          </w:tcPr>
          <w:p>
            <w:r>
              <w:rPr>
                <w:rFonts w:ascii="宋体" w:hAnsi="宋体"/>
                <w:sz w:val="20"/>
              </w:rPr>
              <w:t>0.0（Bug）</w:t>
            </w:r>
          </w:p>
        </w:tc>
        <w:tc>
          <w:tcPr>
            <w:tcW w:type="dxa" w:w="2160"/>
          </w:tcPr>
          <w:p>
            <w:r>
              <w:rPr>
                <w:rFonts w:ascii="宋体" w:hAnsi="宋体"/>
                <w:sz w:val="20"/>
              </w:rPr>
              <w:t>0.0327（pearson）</w:t>
            </w:r>
          </w:p>
        </w:tc>
        <w:tc>
          <w:tcPr>
            <w:tcW w:type="dxa" w:w="2160"/>
          </w:tcPr>
          <w:p>
            <w:r>
              <w:rPr>
                <w:rFonts w:ascii="宋体" w:hAnsi="宋体"/>
                <w:sz w:val="20"/>
              </w:rPr>
              <w:t>修复：同上</w:t>
            </w:r>
          </w:p>
        </w:tc>
      </w:tr>
      <w:tr>
        <w:tc>
          <w:tcPr>
            <w:tcW w:type="dxa" w:w="2160"/>
          </w:tcPr>
          <w:p>
            <w:r>
              <w:rPr>
                <w:rFonts w:ascii="宋体" w:hAnsi="宋体"/>
                <w:sz w:val="20"/>
              </w:rPr>
              <w:t>MostPopular P@10</w:t>
            </w:r>
          </w:p>
        </w:tc>
        <w:tc>
          <w:tcPr>
            <w:tcW w:type="dxa" w:w="2160"/>
          </w:tcPr>
          <w:p>
            <w:r>
              <w:rPr>
                <w:rFonts w:ascii="宋体" w:hAnsi="宋体"/>
                <w:sz w:val="20"/>
              </w:rPr>
              <w:t>未评估</w:t>
            </w:r>
          </w:p>
        </w:tc>
        <w:tc>
          <w:tcPr>
            <w:tcW w:type="dxa" w:w="2160"/>
          </w:tcPr>
          <w:p>
            <w:r>
              <w:rPr>
                <w:rFonts w:ascii="宋体" w:hAnsi="宋体"/>
                <w:sz w:val="20"/>
              </w:rPr>
              <w:t>0.0（符合预期）</w:t>
            </w:r>
          </w:p>
        </w:tc>
        <w:tc>
          <w:tcPr>
            <w:tcW w:type="dxa" w:w="2160"/>
          </w:tcPr>
          <w:p>
            <w:r>
              <w:rPr>
                <w:rFonts w:ascii="宋体" w:hAnsi="宋体"/>
                <w:sz w:val="20"/>
              </w:rPr>
              <w:t>非个性化推荐无法命中</w:t>
            </w:r>
          </w:p>
        </w:tc>
      </w:tr>
    </w:tbl>
    <w:p/>
    <w:p>
      <w:r>
        <w:rPr>
          <w:rFonts w:ascii="宋体" w:hAnsi="宋体"/>
          <w:b w:val="0"/>
          <w:sz w:val="22"/>
        </w:rPr>
        <w:t>表6：排序质量对照——最关键的修正。</w:t>
      </w:r>
    </w:p>
    <w:p>
      <w:pPr>
        <w:pStyle w:val="Heading2"/>
      </w:pPr>
      <w:r>
        <w:rPr>
          <w:rFonts w:ascii="黑体" w:hAnsi="黑体"/>
        </w:rPr>
        <w:t>4.4 本实验新增的分析</w:t>
      </w:r>
    </w:p>
    <w:p>
      <w:pPr>
        <w:pStyle w:val="ListNumber"/>
      </w:pPr>
      <w:r>
        <w:rPr>
          <w:rFonts w:ascii="宋体" w:hAnsi="宋体"/>
          <w:sz w:val="20"/>
        </w:rPr>
        <w:t>统计显著性检验：配对 t 检验确认所有 Z-score 改进均显著（p &lt; 0.01），User-CF vs Item-CF 的差异亦显著。t 统计量范围从 |6.50| 到 |38.16|。</w:t>
      </w:r>
    </w:p>
    <w:p>
      <w:pPr>
        <w:pStyle w:val="ListNumber"/>
      </w:pPr>
      <w:r>
        <w:rPr>
          <w:rFonts w:ascii="宋体" w:hAnsi="宋体"/>
          <w:sz w:val="20"/>
        </w:rPr>
        <w:t>超参数敏感度分析：最优 K 值分别为 User-CF K=30、Item-CF K=20。两种算法在 K&gt;50 后均呈现边际收益递减，K=30 后性能趋于稳定。</w:t>
      </w:r>
    </w:p>
    <w:p>
      <w:pPr>
        <w:pStyle w:val="ListNumber"/>
      </w:pPr>
      <w:r>
        <w:rPr>
          <w:rFonts w:ascii="宋体" w:hAnsi="宋体"/>
          <w:sz w:val="20"/>
        </w:rPr>
        <w:t>Z-score 应用于 Item-CF：余弦相似度下 MAE 提升 9.6%，但 Pearson 下反而下降 2.9%。根本原因：Pearson 已内置均值中心化，叠加 Z-score 标准化相当于过度校正。</w:t>
      </w:r>
    </w:p>
    <w:p>
      <w:pPr>
        <w:pStyle w:val="ListNumber"/>
      </w:pPr>
      <w:r>
        <w:rPr>
          <w:rFonts w:ascii="宋体" w:hAnsi="宋体"/>
          <w:sz w:val="20"/>
        </w:rPr>
        <w:t>计算效率分析：Item-CF 的拟合速度比 User-CF 快 2–5 倍，预测速度约快 1.4 倍。在推荐评估中，Item-CF 比 User-CF 快约 120 倍（0.23s vs 27.5s），因为其使用向量化矩阵乘法一次性预测所有物品。</w:t>
      </w:r>
    </w:p>
    <w:p>
      <w:pPr>
        <w:pStyle w:val="ListNumber"/>
      </w:pPr>
      <w:r>
        <w:rPr>
          <w:rFonts w:ascii="宋体" w:hAnsi="宋体"/>
          <w:sz w:val="20"/>
        </w:rPr>
        <w:t>冷启动风险分析：56.1% 的用户拥有 ≥20 条评分（低风险），40.7% 的用户拥有 5–19 条（中等风险），3.2% 的用户少于 5 条（高风险，已被排除出实验）。</w:t>
      </w:r>
    </w:p>
    <w:p>
      <w:pPr>
        <w:pStyle w:val="Heading1"/>
      </w:pPr>
      <w:r>
        <w:rPr>
          <w:rFonts w:ascii="黑体" w:hAnsi="黑体"/>
        </w:rPr>
        <w:t>五、可视化分析</w:t>
      </w:r>
    </w:p>
    <w:p>
      <w:pPr>
        <w:pStyle w:val="Heading2"/>
      </w:pPr>
      <w:r>
        <w:rPr>
          <w:rFonts w:ascii="黑体" w:hAnsi="黑体"/>
        </w:rPr>
        <w:t>5.1 评分分布</w:t>
      </w:r>
    </w:p>
    <w:p>
      <w:r>
        <w:drawing>
          <wp:inline xmlns:a="http://schemas.openxmlformats.org/drawingml/2006/main" xmlns:pic="http://schemas.openxmlformats.org/drawingml/2006/picture">
            <wp:extent cx="4572000" cy="2944185"/>
            <wp:docPr id="1" name="Picture 1"/>
            <wp:cNvGraphicFramePr>
              <a:graphicFrameLocks noChangeAspect="1"/>
            </wp:cNvGraphicFramePr>
            <a:graphic>
              <a:graphicData uri="http://schemas.openxmlformats.org/drawingml/2006/picture">
                <pic:pic>
                  <pic:nvPicPr>
                    <pic:cNvPr id="0" name="01_rating_distribution.png"/>
                    <pic:cNvPicPr/>
                  </pic:nvPicPr>
                  <pic:blipFill>
                    <a:blip r:embed="rId9"/>
                    <a:stretch>
                      <a:fillRect/>
                    </a:stretch>
                  </pic:blipFill>
                  <pic:spPr>
                    <a:xfrm>
                      <a:off x="0" y="0"/>
                      <a:ext cx="4572000" cy="2944185"/>
                    </a:xfrm>
                    <a:prstGeom prst="rect"/>
                  </pic:spPr>
                </pic:pic>
              </a:graphicData>
            </a:graphic>
          </wp:inline>
        </w:drawing>
      </w:r>
    </w:p>
    <w:p>
      <w:pPr>
        <w:jc w:val="center"/>
      </w:pPr>
      <w:r>
        <w:rPr>
          <w:rFonts w:ascii="宋体" w:hAnsi="宋体"/>
          <w:i/>
          <w:sz w:val="18"/>
        </w:rPr>
        <w:t>图：评分分布</w:t>
      </w:r>
    </w:p>
    <w:p/>
    <w:p>
      <w:r>
        <w:rPr>
          <w:rFonts w:ascii="宋体" w:hAnsi="宋体"/>
          <w:b w:val="0"/>
          <w:sz w:val="22"/>
        </w:rPr>
        <w:t>评分集中在 3–4 星，4 星占比最高（34.9%），整体呈右偏分布。</w:t>
      </w:r>
    </w:p>
    <w:p>
      <w:pPr>
        <w:pStyle w:val="Heading2"/>
      </w:pPr>
      <w:r>
        <w:rPr>
          <w:rFonts w:ascii="黑体" w:hAnsi="黑体"/>
        </w:rPr>
        <w:t>5.2 矩阵稀疏度</w:t>
      </w:r>
    </w:p>
    <w:p>
      <w:r>
        <w:drawing>
          <wp:inline xmlns:a="http://schemas.openxmlformats.org/drawingml/2006/main" xmlns:pic="http://schemas.openxmlformats.org/drawingml/2006/picture">
            <wp:extent cx="3657600" cy="3177915"/>
            <wp:docPr id="2" name="Picture 2"/>
            <wp:cNvGraphicFramePr>
              <a:graphicFrameLocks noChangeAspect="1"/>
            </wp:cNvGraphicFramePr>
            <a:graphic>
              <a:graphicData uri="http://schemas.openxmlformats.org/drawingml/2006/picture">
                <pic:pic>
                  <pic:nvPicPr>
                    <pic:cNvPr id="0" name="02_sparsity_pie.png"/>
                    <pic:cNvPicPr/>
                  </pic:nvPicPr>
                  <pic:blipFill>
                    <a:blip r:embed="rId10"/>
                    <a:stretch>
                      <a:fillRect/>
                    </a:stretch>
                  </pic:blipFill>
                  <pic:spPr>
                    <a:xfrm>
                      <a:off x="0" y="0"/>
                      <a:ext cx="3657600" cy="3177915"/>
                    </a:xfrm>
                    <a:prstGeom prst="rect"/>
                  </pic:spPr>
                </pic:pic>
              </a:graphicData>
            </a:graphic>
          </wp:inline>
        </w:drawing>
      </w:r>
    </w:p>
    <w:p>
      <w:pPr>
        <w:jc w:val="center"/>
      </w:pPr>
      <w:r>
        <w:rPr>
          <w:rFonts w:ascii="宋体" w:hAnsi="宋体"/>
          <w:i/>
          <w:sz w:val="18"/>
        </w:rPr>
        <w:t>图：用户-物品交互矩阵稀疏度</w:t>
      </w:r>
    </w:p>
    <w:p/>
    <w:p>
      <w:r>
        <w:rPr>
          <w:rFonts w:ascii="宋体" w:hAnsi="宋体"/>
          <w:b w:val="0"/>
          <w:sz w:val="22"/>
        </w:rPr>
        <w:t>在 22,384,240 个可能的用户-物品对中，仅 1,000,209 个（4.47%）有评分记录。</w:t>
      </w:r>
    </w:p>
    <w:p>
      <w:pPr>
        <w:pStyle w:val="Heading2"/>
      </w:pPr>
      <w:r>
        <w:rPr>
          <w:rFonts w:ascii="黑体" w:hAnsi="黑体"/>
        </w:rPr>
        <w:t>5.3 预测误差分布</w:t>
      </w:r>
    </w:p>
    <w:p>
      <w:r>
        <w:drawing>
          <wp:inline xmlns:a="http://schemas.openxmlformats.org/drawingml/2006/main" xmlns:pic="http://schemas.openxmlformats.org/drawingml/2006/picture">
            <wp:extent cx="5486400" cy="987521"/>
            <wp:docPr id="3" name="Picture 3"/>
            <wp:cNvGraphicFramePr>
              <a:graphicFrameLocks noChangeAspect="1"/>
            </wp:cNvGraphicFramePr>
            <a:graphic>
              <a:graphicData uri="http://schemas.openxmlformats.org/drawingml/2006/picture">
                <pic:pic>
                  <pic:nvPicPr>
                    <pic:cNvPr id="0" name="03_error_distributions.png"/>
                    <pic:cNvPicPr/>
                  </pic:nvPicPr>
                  <pic:blipFill>
                    <a:blip r:embed="rId11"/>
                    <a:stretch>
                      <a:fillRect/>
                    </a:stretch>
                  </pic:blipFill>
                  <pic:spPr>
                    <a:xfrm>
                      <a:off x="0" y="0"/>
                      <a:ext cx="5486400" cy="987521"/>
                    </a:xfrm>
                    <a:prstGeom prst="rect"/>
                  </pic:spPr>
                </pic:pic>
              </a:graphicData>
            </a:graphic>
          </wp:inline>
        </w:drawing>
      </w:r>
    </w:p>
    <w:p>
      <w:pPr>
        <w:jc w:val="center"/>
      </w:pPr>
      <w:r>
        <w:rPr>
          <w:rFonts w:ascii="宋体" w:hAnsi="宋体"/>
          <w:i/>
          <w:sz w:val="18"/>
        </w:rPr>
        <w:t>图：预测误差分布对比</w:t>
      </w:r>
    </w:p>
    <w:p/>
    <w:p>
      <w:r>
        <w:rPr>
          <w:rFonts w:ascii="宋体" w:hAnsi="宋体"/>
          <w:b w:val="0"/>
          <w:sz w:val="22"/>
        </w:rPr>
        <w:t>Z-score 变体的误差分布更加集中，均值和峰值均更接近零。</w:t>
      </w:r>
    </w:p>
    <w:p>
      <w:pPr>
        <w:pStyle w:val="Heading2"/>
      </w:pPr>
      <w:r>
        <w:rPr>
          <w:rFonts w:ascii="黑体" w:hAnsi="黑体"/>
        </w:rPr>
        <w:t>5.4 实际 vs 预测评分</w:t>
      </w:r>
    </w:p>
    <w:p>
      <w:r>
        <w:drawing>
          <wp:inline xmlns:a="http://schemas.openxmlformats.org/drawingml/2006/main" xmlns:pic="http://schemas.openxmlformats.org/drawingml/2006/picture">
            <wp:extent cx="5486400" cy="1621395"/>
            <wp:docPr id="4" name="Picture 4"/>
            <wp:cNvGraphicFramePr>
              <a:graphicFrameLocks noChangeAspect="1"/>
            </wp:cNvGraphicFramePr>
            <a:graphic>
              <a:graphicData uri="http://schemas.openxmlformats.org/drawingml/2006/picture">
                <pic:pic>
                  <pic:nvPicPr>
                    <pic:cNvPr id="0" name="04_actual_vs_predicted.png"/>
                    <pic:cNvPicPr/>
                  </pic:nvPicPr>
                  <pic:blipFill>
                    <a:blip r:embed="rId12"/>
                    <a:stretch>
                      <a:fillRect/>
                    </a:stretch>
                  </pic:blipFill>
                  <pic:spPr>
                    <a:xfrm>
                      <a:off x="0" y="0"/>
                      <a:ext cx="5486400" cy="1621395"/>
                    </a:xfrm>
                    <a:prstGeom prst="rect"/>
                  </pic:spPr>
                </pic:pic>
              </a:graphicData>
            </a:graphic>
          </wp:inline>
        </w:drawing>
      </w:r>
    </w:p>
    <w:p>
      <w:pPr>
        <w:jc w:val="center"/>
      </w:pPr>
      <w:r>
        <w:rPr>
          <w:rFonts w:ascii="宋体" w:hAnsi="宋体"/>
          <w:i/>
          <w:sz w:val="18"/>
        </w:rPr>
        <w:t>图：实际评分 vs 预测评分散点图</w:t>
      </w:r>
    </w:p>
    <w:p/>
    <w:p>
      <w:pPr>
        <w:pStyle w:val="Heading2"/>
      </w:pPr>
      <w:r>
        <w:rPr>
          <w:rFonts w:ascii="黑体" w:hAnsi="黑体"/>
        </w:rPr>
        <w:t>5.5 算法对比雷达图</w:t>
      </w:r>
    </w:p>
    <w:p>
      <w:r>
        <w:drawing>
          <wp:inline xmlns:a="http://schemas.openxmlformats.org/drawingml/2006/main" xmlns:pic="http://schemas.openxmlformats.org/drawingml/2006/picture">
            <wp:extent cx="4114800" cy="3464748"/>
            <wp:docPr id="5" name="Picture 5"/>
            <wp:cNvGraphicFramePr>
              <a:graphicFrameLocks noChangeAspect="1"/>
            </wp:cNvGraphicFramePr>
            <a:graphic>
              <a:graphicData uri="http://schemas.openxmlformats.org/drawingml/2006/picture">
                <pic:pic>
                  <pic:nvPicPr>
                    <pic:cNvPr id="0" name="05_algorithm_radar.png"/>
                    <pic:cNvPicPr/>
                  </pic:nvPicPr>
                  <pic:blipFill>
                    <a:blip r:embed="rId13"/>
                    <a:stretch>
                      <a:fillRect/>
                    </a:stretch>
                  </pic:blipFill>
                  <pic:spPr>
                    <a:xfrm>
                      <a:off x="0" y="0"/>
                      <a:ext cx="4114800" cy="3464748"/>
                    </a:xfrm>
                    <a:prstGeom prst="rect"/>
                  </pic:spPr>
                </pic:pic>
              </a:graphicData>
            </a:graphic>
          </wp:inline>
        </w:drawing>
      </w:r>
    </w:p>
    <w:p>
      <w:pPr>
        <w:jc w:val="center"/>
      </w:pPr>
      <w:r>
        <w:rPr>
          <w:rFonts w:ascii="宋体" w:hAnsi="宋体"/>
          <w:i/>
          <w:sz w:val="18"/>
        </w:rPr>
        <w:t>图：算法优劣势雷达对比图</w:t>
      </w:r>
    </w:p>
    <w:p/>
    <w:p>
      <w:pPr>
        <w:pStyle w:val="Heading2"/>
      </w:pPr>
      <w:r>
        <w:rPr>
          <w:rFonts w:ascii="黑体" w:hAnsi="黑体"/>
        </w:rPr>
        <w:t>5.6 模型 MAE 对比</w:t>
      </w:r>
    </w:p>
    <w:p>
      <w:r>
        <w:drawing>
          <wp:inline xmlns:a="http://schemas.openxmlformats.org/drawingml/2006/main" xmlns:pic="http://schemas.openxmlformats.org/drawingml/2006/picture">
            <wp:extent cx="5029200" cy="3664083"/>
            <wp:docPr id="6" name="Picture 6"/>
            <wp:cNvGraphicFramePr>
              <a:graphicFrameLocks noChangeAspect="1"/>
            </wp:cNvGraphicFramePr>
            <a:graphic>
              <a:graphicData uri="http://schemas.openxmlformats.org/drawingml/2006/picture">
                <pic:pic>
                  <pic:nvPicPr>
                    <pic:cNvPr id="0" name="06_model_comparison_mae.png"/>
                    <pic:cNvPicPr/>
                  </pic:nvPicPr>
                  <pic:blipFill>
                    <a:blip r:embed="rId14"/>
                    <a:stretch>
                      <a:fillRect/>
                    </a:stretch>
                  </pic:blipFill>
                  <pic:spPr>
                    <a:xfrm>
                      <a:off x="0" y="0"/>
                      <a:ext cx="5029200" cy="3664083"/>
                    </a:xfrm>
                    <a:prstGeom prst="rect"/>
                  </pic:spPr>
                </pic:pic>
              </a:graphicData>
            </a:graphic>
          </wp:inline>
        </w:drawing>
      </w:r>
    </w:p>
    <w:p>
      <w:pPr>
        <w:jc w:val="center"/>
      </w:pPr>
      <w:r>
        <w:rPr>
          <w:rFonts w:ascii="宋体" w:hAnsi="宋体"/>
          <w:i/>
          <w:sz w:val="18"/>
        </w:rPr>
        <w:t>图：所有模型 MAE 对比</w:t>
      </w:r>
    </w:p>
    <w:p/>
    <w:p>
      <w:pPr>
        <w:pStyle w:val="Heading2"/>
      </w:pPr>
      <w:r>
        <w:rPr>
          <w:rFonts w:ascii="黑体" w:hAnsi="黑体"/>
        </w:rPr>
        <w:t>5.7 超参数敏感度</w:t>
      </w:r>
    </w:p>
    <w:p>
      <w:r>
        <w:drawing>
          <wp:inline xmlns:a="http://schemas.openxmlformats.org/drawingml/2006/main" xmlns:pic="http://schemas.openxmlformats.org/drawingml/2006/picture">
            <wp:extent cx="5486400" cy="2817048"/>
            <wp:docPr id="7" name="Picture 7"/>
            <wp:cNvGraphicFramePr>
              <a:graphicFrameLocks noChangeAspect="1"/>
            </wp:cNvGraphicFramePr>
            <a:graphic>
              <a:graphicData uri="http://schemas.openxmlformats.org/drawingml/2006/picture">
                <pic:pic>
                  <pic:nvPicPr>
                    <pic:cNvPr id="0" name="07_hyperparameter_sensitivity.png"/>
                    <pic:cNvPicPr/>
                  </pic:nvPicPr>
                  <pic:blipFill>
                    <a:blip r:embed="rId15"/>
                    <a:stretch>
                      <a:fillRect/>
                    </a:stretch>
                  </pic:blipFill>
                  <pic:spPr>
                    <a:xfrm>
                      <a:off x="0" y="0"/>
                      <a:ext cx="5486400" cy="2817048"/>
                    </a:xfrm>
                    <a:prstGeom prst="rect"/>
                  </pic:spPr>
                </pic:pic>
              </a:graphicData>
            </a:graphic>
          </wp:inline>
        </w:drawing>
      </w:r>
    </w:p>
    <w:p>
      <w:pPr>
        <w:jc w:val="center"/>
      </w:pPr>
      <w:r>
        <w:rPr>
          <w:rFonts w:ascii="宋体" w:hAnsi="宋体"/>
          <w:i/>
          <w:sz w:val="18"/>
        </w:rPr>
        <w:t>图：超参数 K 敏感度分析</w:t>
      </w:r>
    </w:p>
    <w:p/>
    <w:p>
      <w:r>
        <w:rPr>
          <w:rFonts w:ascii="宋体" w:hAnsi="宋体"/>
          <w:b w:val="0"/>
          <w:sz w:val="22"/>
        </w:rPr>
        <w:t>K 从 5 增至 20–30 时 MAE 持续下降，之后趋于平台。Z-score 变体在所有 K 值下均占优。</w:t>
      </w:r>
    </w:p>
    <w:p>
      <w:pPr>
        <w:pStyle w:val="Heading2"/>
      </w:pPr>
      <w:r>
        <w:rPr>
          <w:rFonts w:ascii="黑体" w:hAnsi="黑体"/>
        </w:rPr>
        <w:t>5.8 推荐多样性</w:t>
      </w:r>
    </w:p>
    <w:p>
      <w:r>
        <w:drawing>
          <wp:inline xmlns:a="http://schemas.openxmlformats.org/drawingml/2006/main" xmlns:pic="http://schemas.openxmlformats.org/drawingml/2006/picture">
            <wp:extent cx="4572000" cy="2486140"/>
            <wp:docPr id="8" name="Picture 8"/>
            <wp:cNvGraphicFramePr>
              <a:graphicFrameLocks noChangeAspect="1"/>
            </wp:cNvGraphicFramePr>
            <a:graphic>
              <a:graphicData uri="http://schemas.openxmlformats.org/drawingml/2006/picture">
                <pic:pic>
                  <pic:nvPicPr>
                    <pic:cNvPr id="0" name="08_diversity_comparison.png"/>
                    <pic:cNvPicPr/>
                  </pic:nvPicPr>
                  <pic:blipFill>
                    <a:blip r:embed="rId16"/>
                    <a:stretch>
                      <a:fillRect/>
                    </a:stretch>
                  </pic:blipFill>
                  <pic:spPr>
                    <a:xfrm>
                      <a:off x="0" y="0"/>
                      <a:ext cx="4572000" cy="2486140"/>
                    </a:xfrm>
                    <a:prstGeom prst="rect"/>
                  </pic:spPr>
                </pic:pic>
              </a:graphicData>
            </a:graphic>
          </wp:inline>
        </w:drawing>
      </w:r>
    </w:p>
    <w:p>
      <w:pPr>
        <w:jc w:val="center"/>
      </w:pPr>
      <w:r>
        <w:rPr>
          <w:rFonts w:ascii="宋体" w:hAnsi="宋体"/>
          <w:i/>
          <w:sz w:val="18"/>
        </w:rPr>
        <w:t>图：推荐多样性对比</w:t>
      </w:r>
    </w:p>
    <w:p/>
    <w:p>
      <w:r>
        <w:rPr>
          <w:rFonts w:ascii="宋体" w:hAnsi="宋体"/>
          <w:b w:val="0"/>
          <w:sz w:val="22"/>
        </w:rPr>
        <w:t>基于物品的协同过滤在推荐多样性上优于基于用户的方法。</w:t>
      </w:r>
    </w:p>
    <w:p>
      <w:pPr>
        <w:pStyle w:val="Heading2"/>
      </w:pPr>
      <w:r>
        <w:rPr>
          <w:rFonts w:ascii="黑体" w:hAnsi="黑体"/>
        </w:rPr>
        <w:t>5.9 Z-score 改进热力图</w:t>
      </w:r>
    </w:p>
    <w:p>
      <w:r>
        <w:drawing>
          <wp:inline xmlns:a="http://schemas.openxmlformats.org/drawingml/2006/main" xmlns:pic="http://schemas.openxmlformats.org/drawingml/2006/picture">
            <wp:extent cx="4572000" cy="3582605"/>
            <wp:docPr id="9" name="Picture 9"/>
            <wp:cNvGraphicFramePr>
              <a:graphicFrameLocks noChangeAspect="1"/>
            </wp:cNvGraphicFramePr>
            <a:graphic>
              <a:graphicData uri="http://schemas.openxmlformats.org/drawingml/2006/picture">
                <pic:pic>
                  <pic:nvPicPr>
                    <pic:cNvPr id="0" name="09_zscore_improvement_heatmap.png"/>
                    <pic:cNvPicPr/>
                  </pic:nvPicPr>
                  <pic:blipFill>
                    <a:blip r:embed="rId17"/>
                    <a:stretch>
                      <a:fillRect/>
                    </a:stretch>
                  </pic:blipFill>
                  <pic:spPr>
                    <a:xfrm>
                      <a:off x="0" y="0"/>
                      <a:ext cx="4572000" cy="3582605"/>
                    </a:xfrm>
                    <a:prstGeom prst="rect"/>
                  </pic:spPr>
                </pic:pic>
              </a:graphicData>
            </a:graphic>
          </wp:inline>
        </w:drawing>
      </w:r>
    </w:p>
    <w:p>
      <w:pPr>
        <w:jc w:val="center"/>
      </w:pPr>
      <w:r>
        <w:rPr>
          <w:rFonts w:ascii="宋体" w:hAnsi="宋体"/>
          <w:i/>
          <w:sz w:val="18"/>
        </w:rPr>
        <w:t>图：Z-score 改进热力图</w:t>
      </w:r>
    </w:p>
    <w:p/>
    <w:p>
      <w:pPr>
        <w:pStyle w:val="Heading2"/>
      </w:pPr>
      <w:r>
        <w:rPr>
          <w:rFonts w:ascii="黑体" w:hAnsi="黑体"/>
        </w:rPr>
        <w:t>5.10 计算效率</w:t>
      </w:r>
    </w:p>
    <w:p>
      <w:r>
        <w:drawing>
          <wp:inline xmlns:a="http://schemas.openxmlformats.org/drawingml/2006/main" xmlns:pic="http://schemas.openxmlformats.org/drawingml/2006/picture">
            <wp:extent cx="5029200" cy="2849618"/>
            <wp:docPr id="10" name="Picture 10"/>
            <wp:cNvGraphicFramePr>
              <a:graphicFrameLocks noChangeAspect="1"/>
            </wp:cNvGraphicFramePr>
            <a:graphic>
              <a:graphicData uri="http://schemas.openxmlformats.org/drawingml/2006/picture">
                <pic:pic>
                  <pic:nvPicPr>
                    <pic:cNvPr id="0" name="10_time_comparison.png"/>
                    <pic:cNvPicPr/>
                  </pic:nvPicPr>
                  <pic:blipFill>
                    <a:blip r:embed="rId18"/>
                    <a:stretch>
                      <a:fillRect/>
                    </a:stretch>
                  </pic:blipFill>
                  <pic:spPr>
                    <a:xfrm>
                      <a:off x="0" y="0"/>
                      <a:ext cx="5029200" cy="2849618"/>
                    </a:xfrm>
                    <a:prstGeom prst="rect"/>
                  </pic:spPr>
                </pic:pic>
              </a:graphicData>
            </a:graphic>
          </wp:inline>
        </w:drawing>
      </w:r>
    </w:p>
    <w:p>
      <w:pPr>
        <w:jc w:val="center"/>
      </w:pPr>
      <w:r>
        <w:rPr>
          <w:rFonts w:ascii="宋体" w:hAnsi="宋体"/>
          <w:i/>
          <w:sz w:val="18"/>
        </w:rPr>
        <w:t>图：计算效率对比</w:t>
      </w:r>
    </w:p>
    <w:p/>
    <w:p>
      <w:pPr>
        <w:pStyle w:val="Heading2"/>
      </w:pPr>
      <w:r>
        <w:rPr>
          <w:rFonts w:ascii="黑体" w:hAnsi="黑体"/>
        </w:rPr>
        <w:t>5.11 用户评分行为</w:t>
      </w:r>
    </w:p>
    <w:p>
      <w:r>
        <w:drawing>
          <wp:inline xmlns:a="http://schemas.openxmlformats.org/drawingml/2006/main" xmlns:pic="http://schemas.openxmlformats.org/drawingml/2006/picture">
            <wp:extent cx="5486400" cy="1756703"/>
            <wp:docPr id="11" name="Picture 11"/>
            <wp:cNvGraphicFramePr>
              <a:graphicFrameLocks noChangeAspect="1"/>
            </wp:cNvGraphicFramePr>
            <a:graphic>
              <a:graphicData uri="http://schemas.openxmlformats.org/drawingml/2006/picture">
                <pic:pic>
                  <pic:nvPicPr>
                    <pic:cNvPr id="0" name="11_user_rating_behavior.png"/>
                    <pic:cNvPicPr/>
                  </pic:nvPicPr>
                  <pic:blipFill>
                    <a:blip r:embed="rId19"/>
                    <a:stretch>
                      <a:fillRect/>
                    </a:stretch>
                  </pic:blipFill>
                  <pic:spPr>
                    <a:xfrm>
                      <a:off x="0" y="0"/>
                      <a:ext cx="5486400" cy="1756703"/>
                    </a:xfrm>
                    <a:prstGeom prst="rect"/>
                  </pic:spPr>
                </pic:pic>
              </a:graphicData>
            </a:graphic>
          </wp:inline>
        </w:drawing>
      </w:r>
    </w:p>
    <w:p>
      <w:pPr>
        <w:jc w:val="center"/>
      </w:pPr>
      <w:r>
        <w:rPr>
          <w:rFonts w:ascii="宋体" w:hAnsi="宋体"/>
          <w:i/>
          <w:sz w:val="18"/>
        </w:rPr>
        <w:t>图：用户评分行为分析</w:t>
      </w:r>
    </w:p>
    <w:p/>
    <w:p>
      <w:r>
        <w:rPr>
          <w:rFonts w:ascii="宋体" w:hAnsi="宋体"/>
          <w:b w:val="0"/>
          <w:sz w:val="22"/>
        </w:rPr>
        <w:t>不同用户的评分均值和标准差存在显著差异，这验证了 Z-score 标准化的必要性。</w:t>
      </w:r>
    </w:p>
    <w:p>
      <w:pPr>
        <w:pStyle w:val="Heading2"/>
      </w:pPr>
      <w:r>
        <w:rPr>
          <w:rFonts w:ascii="黑体" w:hAnsi="黑体"/>
        </w:rPr>
        <w:t>5.12 冷启动分析</w:t>
      </w:r>
    </w:p>
    <w:p>
      <w:r>
        <w:drawing>
          <wp:inline xmlns:a="http://schemas.openxmlformats.org/drawingml/2006/main" xmlns:pic="http://schemas.openxmlformats.org/drawingml/2006/picture">
            <wp:extent cx="5486400" cy="2402563"/>
            <wp:docPr id="12" name="Picture 12"/>
            <wp:cNvGraphicFramePr>
              <a:graphicFrameLocks noChangeAspect="1"/>
            </wp:cNvGraphicFramePr>
            <a:graphic>
              <a:graphicData uri="http://schemas.openxmlformats.org/drawingml/2006/picture">
                <pic:pic>
                  <pic:nvPicPr>
                    <pic:cNvPr id="0" name="12_cold_start_analysis.png"/>
                    <pic:cNvPicPr/>
                  </pic:nvPicPr>
                  <pic:blipFill>
                    <a:blip r:embed="rId20"/>
                    <a:stretch>
                      <a:fillRect/>
                    </a:stretch>
                  </pic:blipFill>
                  <pic:spPr>
                    <a:xfrm>
                      <a:off x="0" y="0"/>
                      <a:ext cx="5486400" cy="2402563"/>
                    </a:xfrm>
                    <a:prstGeom prst="rect"/>
                  </pic:spPr>
                </pic:pic>
              </a:graphicData>
            </a:graphic>
          </wp:inline>
        </w:drawing>
      </w:r>
    </w:p>
    <w:p>
      <w:pPr>
        <w:jc w:val="center"/>
      </w:pPr>
      <w:r>
        <w:rPr>
          <w:rFonts w:ascii="宋体" w:hAnsi="宋体"/>
          <w:i/>
          <w:sz w:val="18"/>
        </w:rPr>
        <w:t>图：冷启动风险分析</w:t>
      </w:r>
    </w:p>
    <w:p/>
    <w:p>
      <w:pPr>
        <w:pStyle w:val="Heading1"/>
      </w:pPr>
      <w:r>
        <w:rPr>
          <w:rFonts w:ascii="黑体" w:hAnsi="黑体"/>
        </w:rPr>
        <w:t>六、讨论</w:t>
      </w:r>
    </w:p>
    <w:p>
      <w:pPr>
        <w:pStyle w:val="Heading2"/>
      </w:pPr>
      <w:r>
        <w:rPr>
          <w:rFonts w:ascii="黑体" w:hAnsi="黑体"/>
        </w:rPr>
        <w:t>6.1 为何 Precision/Recall 为 0？</w:t>
      </w:r>
    </w:p>
    <w:p>
      <w:r>
        <w:rPr>
          <w:rFonts w:ascii="宋体" w:hAnsi="宋体"/>
          <w:b w:val="0"/>
          <w:sz w:val="22"/>
        </w:rPr>
        <w:t>根本原因是一个看似微小但影响深远的实现错误。推荐函数生成了按预测评分排序的 Top-K 物品列表，但没有过滤掉用户在训练集中已评分过的物品。由于协同过滤倾向于对与用户已高分评分物品相似的内容给出高预测分，Top-K 列表几乎完全由训练集物品主导。当用测试集验证时（测试集包含的是用户在训练后实际互动过的物品），推荐列表中没有任何新物品能够命中——命中数为零。我们的修复方案在推荐函数中显式排除了训练物品候选集，严格按照推荐系统的标准评估协议执行。</w:t>
      </w:r>
    </w:p>
    <w:p>
      <w:pPr>
        <w:pStyle w:val="Heading2"/>
      </w:pPr>
      <w:r>
        <w:rPr>
          <w:rFonts w:ascii="黑体" w:hAnsi="黑体"/>
        </w:rPr>
        <w:t>6.2 原报告的数据矛盾</w:t>
      </w:r>
    </w:p>
    <w:p>
      <w:r>
        <w:rPr>
          <w:rFonts w:ascii="宋体" w:hAnsi="宋体"/>
          <w:b w:val="0"/>
          <w:sz w:val="22"/>
        </w:rPr>
        <w:t>原报告的数据统计存在多处矛盾：同时声称 1,810,189 条评分和「仅 18,119 条交互」；稀疏度报告为 99.98% 但按 6,040×3,706=2,238 万总单元格计算，1 万条评分对应约 99.95% 稀疏度而非 99.98%；1,810,189 条评分对应的稀疏度应为约 92%。标准 MovieLens 1M 数据集包含的评分恰好是 1,000,209 条，稀疏度确实为 95.53%。这些矛盾可能源于实验过程中使用了不同版本或子采样的数据集，但在报告中未加以区分。无论原因如何，准确的数据报告对于研究的可复现性至关重要。</w:t>
      </w:r>
    </w:p>
    <w:p>
      <w:pPr>
        <w:pStyle w:val="Heading2"/>
      </w:pPr>
      <w:r>
        <w:rPr>
          <w:rFonts w:ascii="黑体" w:hAnsi="黑体"/>
        </w:rPr>
        <w:t>6.3 Z-score 与相似度度量的交互作用</w:t>
      </w:r>
    </w:p>
    <w:p>
      <w:r>
        <w:rPr>
          <w:rFonts w:ascii="宋体" w:hAnsi="宋体"/>
          <w:b w:val="0"/>
          <w:sz w:val="22"/>
        </w:rPr>
        <w:t>一个重要发现是 Z-score 标准化与不同相似度度量之间存在交互效应。对于余弦相似度，Z-score 始终提升性能（User-CF 9.3%，Item-CF 9.6%）。然而对于已经包含均值中心化的 Pearson 相关系数，Z-score 反而使 Item-CF 性能下降 2.9%。这是因为对 Pearson 已中心化的数据再次进行 Z-score 标准化不会增加新信息，反而可能放大评分较少的物品的噪声。这一发现为相似度度量与标准化方法的组合选择提供了明确指导。</w:t>
      </w:r>
    </w:p>
    <w:p>
      <w:pPr>
        <w:pStyle w:val="Heading2"/>
      </w:pPr>
      <w:r>
        <w:rPr>
          <w:rFonts w:ascii="黑体" w:hAnsi="黑体"/>
        </w:rPr>
        <w:t>6.4 实用建议</w:t>
      </w:r>
    </w:p>
    <w:p>
      <w:pPr>
        <w:pStyle w:val="ListBullet"/>
      </w:pPr>
      <w:r>
        <w:rPr>
          <w:rFonts w:ascii="宋体" w:hAnsi="宋体"/>
          <w:sz w:val="20"/>
        </w:rPr>
        <w:t>评分预测场景：推荐 Item-CF (cosine, Z-score)，K=20。MAE=0.7146，预测速度快（2.51s/197K 条），可扩展性好，适合大规模部署。</w:t>
      </w:r>
    </w:p>
    <w:p>
      <w:pPr>
        <w:pStyle w:val="ListBullet"/>
      </w:pPr>
      <w:r>
        <w:rPr>
          <w:rFonts w:ascii="宋体" w:hAnsi="宋体"/>
          <w:sz w:val="20"/>
        </w:rPr>
        <w:t>Top-K 推荐场景：推荐 User-CF (cosine)，Precision@10=0.086 为所有模型中最高。虽然速度较慢，但提供了更好的推荐排序质量。</w:t>
      </w:r>
    </w:p>
    <w:p>
      <w:pPr>
        <w:pStyle w:val="ListBullet"/>
      </w:pPr>
      <w:r>
        <w:rPr>
          <w:rFonts w:ascii="宋体" w:hAnsi="宋体"/>
          <w:sz w:val="20"/>
        </w:rPr>
        <w:t>始终加入基线对比：GlobalMean 基线（MAE=0.9449）为所有方法提供了有意义的下界。CF 方法相对基线约 20% 的 MAE 改进证实了其计算成本的合理性。</w:t>
      </w:r>
    </w:p>
    <w:p>
      <w:pPr>
        <w:pStyle w:val="ListBullet"/>
      </w:pPr>
      <w:r>
        <w:rPr>
          <w:rFonts w:ascii="宋体" w:hAnsi="宋体"/>
          <w:sz w:val="20"/>
        </w:rPr>
        <w:t>报告统计检验结果：逐用户 MAE 分布不能保证正态性，配对 t 检验为性能改进是否偶然提供严格证据。</w:t>
      </w:r>
    </w:p>
    <w:p>
      <w:pPr>
        <w:pStyle w:val="ListBullet"/>
      </w:pPr>
      <w:r>
        <w:rPr>
          <w:rFonts w:ascii="宋体" w:hAnsi="宋体"/>
          <w:sz w:val="20"/>
        </w:rPr>
        <w:t>注意相似度与标准化的匹配：余弦相似度 + Z-score 是最佳组合；Pearson + Z-score 对 Item-CF 有负面影响。</w:t>
      </w:r>
    </w:p>
    <w:p>
      <w:pPr>
        <w:pStyle w:val="Heading1"/>
      </w:pPr>
      <w:r>
        <w:rPr>
          <w:rFonts w:ascii="黑体" w:hAnsi="黑体"/>
        </w:rPr>
        <w:t>七、结论</w:t>
      </w:r>
    </w:p>
    <w:p>
      <w:r>
        <w:rPr>
          <w:rFonts w:ascii="宋体" w:hAnsi="宋体"/>
          <w:b w:val="0"/>
          <w:sz w:val="22"/>
        </w:rPr>
        <w:t>本改进实验表明，在修正了评估 Bug 并使用严格的方法论后，协同过滤与 Z-score 标准化的组合在 MovieLens 1M 数据集上取得了有意义且可测量的改进效果。修正后的 Precision@K 和 Recall@K 指标（0.048–0.086）替代了原报告无效的零值。基于用户和基于物品的协同过滤均从 Z-score 标准化中受益（余弦相似度下 MAE 分别降低 9.3% 和 9.6%），所有改进均具有统计显著性（p &lt; 0.01）。基线模型、超参数分析和计算效率指标的加入为算法性能提供了完整的评估图景。主要方法论文献表明，我们获得的 MAE 值与此数据集上传统 CF 方法的预期结果一致。</w:t>
      </w:r>
    </w:p>
    <w:p>
      <w:r>
        <w:rPr>
          <w:rFonts w:ascii="宋体" w:hAnsi="宋体"/>
          <w:b w:val="0"/>
          <w:sz w:val="22"/>
        </w:rPr>
        <w:t>未来工作方向：(1) 引入矩阵分解方法（SVD、NMF）以捕获更深层的隐含因子；(2) 结合电影元数据（类型、导演、演员）构建混合推荐系统以缓解冷启动问题；(3) 引入时间动态建模以捕捉用户偏好的演变；(4) 添加推荐解释模块以提升用户信任和透明度；(5) 在更大规模数据集（MovieLens 10M/20M）上验证结论的可扩展性。</w:t>
      </w:r>
    </w:p>
    <w:p>
      <w:pPr>
        <w:pStyle w:val="Heading1"/>
      </w:pPr>
      <w:r>
        <w:rPr>
          <w:rFonts w:ascii="黑体" w:hAnsi="黑体"/>
        </w:rPr>
        <w:t>参考文献</w:t>
      </w:r>
    </w:p>
    <w:p>
      <w:r>
        <w:rPr>
          <w:rFonts w:ascii="宋体" w:hAnsi="宋体"/>
          <w:sz w:val="20"/>
        </w:rPr>
        <w:t>[1] Ouyang, Q., Yang, P., Shi, Y. 等. (2026). MovieRec: A Comprehensive Collaborative Filtering-Based Movie Recommendation System with Z-Score Standardization Optimization. MScDS 项目报告, 岭南大学.</w:t>
      </w:r>
    </w:p>
    <w:p>
      <w:r>
        <w:rPr>
          <w:rFonts w:ascii="宋体" w:hAnsi="宋体"/>
          <w:sz w:val="20"/>
        </w:rPr>
        <w:t>[2] Sarwar, B., Karypis, G., Konstan, J., &amp; Riedl, J. (2001). Item-based collaborative filtering recommendation algorithms. WWW 2001, 285–295.</w:t>
      </w:r>
    </w:p>
    <w:p>
      <w:r>
        <w:rPr>
          <w:rFonts w:ascii="宋体" w:hAnsi="宋体"/>
          <w:sz w:val="20"/>
        </w:rPr>
        <w:t>[3] Herlocker, J. L., Konstan, J. A., Terveen, L. G., &amp; Riedl, J. T. (2004). Evaluating collaborative filtering recommender systems. ACM TOIS, 22(1), 5–53.</w:t>
      </w:r>
    </w:p>
    <w:p>
      <w:r>
        <w:rPr>
          <w:rFonts w:ascii="宋体" w:hAnsi="宋体"/>
          <w:sz w:val="20"/>
        </w:rPr>
        <w:t>[4] Su, X., &amp; Khoshgoftaar, T. M. (2009). A survey of collaborative filtering techniques. Advances in Artificial Intelligence, 2009.</w:t>
      </w:r>
    </w:p>
    <w:p>
      <w:r>
        <w:rPr>
          <w:rFonts w:ascii="宋体" w:hAnsi="宋体"/>
          <w:sz w:val="20"/>
        </w:rPr>
        <w:t>[5] Koren, Y., Bell, R., &amp; Volinsky, C. (2009). Matrix factorization techniques for recommender systems. Computer, 42(8), 30–37.</w:t>
      </w:r>
    </w:p>
    <w:p>
      <w:r>
        <w:rPr>
          <w:rFonts w:ascii="宋体" w:hAnsi="宋体"/>
          <w:sz w:val="20"/>
        </w:rPr>
        <w:t>[6] Harper, F. M., &amp; Konstan, J. A. (2015). The MovieLens datasets: History and context. ACM TIIS, 5(4), 1–19.</w:t>
      </w:r>
    </w:p>
    <w:p>
      <w:r>
        <w:rPr>
          <w:rFonts w:ascii="宋体" w:hAnsi="宋体"/>
          <w:sz w:val="20"/>
        </w:rPr>
        <w:t>[7] Resnick, P., Iacovou, N., Suchak, M. 等. (1994). GroupLens: An open architecture for collaborative filtering of netnews. CSCW 1994, 175–186.</w:t>
      </w:r>
    </w:p>
    <w:p>
      <w:r>
        <w:rPr>
          <w:rFonts w:ascii="宋体" w:hAnsi="宋体"/>
          <w:sz w:val="20"/>
        </w:rPr>
        <w:t>[8] Linden, G., Smith, B., &amp; York, J. (2003). Amazon.com recommendations: Item-to-item collaborative filtering. IEEE Internet Computing, 7(1), 76–80.</w:t>
      </w:r>
    </w:p>
    <w:p>
      <w:pPr>
        <w:pStyle w:val="Heading1"/>
      </w:pPr>
      <w:r>
        <w:rPr>
          <w:rFonts w:ascii="黑体" w:hAnsi="黑体"/>
        </w:rPr>
        <w:t>附录：项目代码结构与复现方法</w:t>
      </w:r>
    </w:p>
    <w:p>
      <w:r>
        <w:rPr>
          <w:rFonts w:ascii="宋体" w:hAnsi="宋体"/>
          <w:b w:val="0"/>
          <w:sz w:val="22"/>
        </w:rPr>
        <w:t>所有实验使用 Python 3.11 运行，依赖 NumPy、SciPy、Pandas、Scikit-learn、Matplotlib 和 Seaborn。</w:t>
      </w:r>
    </w:p>
    <w:p>
      <w:r>
        <w:rPr>
          <w:rFonts w:ascii="Consolas" w:hAnsi="Consolas"/>
          <w:sz w:val="18"/>
        </w:rPr>
        <w:t>Movie Recommendation/</w:t>
        <w:br/>
        <w:t xml:space="preserve">  data/ml-1m/              — MovieLens 1M 数据集</w:t>
        <w:br/>
        <w:t xml:space="preserve">  src/</w:t>
        <w:br/>
        <w:t xml:space="preserve">    config.py              — 配置常量</w:t>
        <w:br/>
        <w:t xml:space="preserve">    data_loader.py         — 数据加载、预处理、统计分析</w:t>
        <w:br/>
        <w:t xml:space="preserve">    baselines.py           — 4 个基线模型</w:t>
        <w:br/>
        <w:t xml:space="preserve">    collaborative_filtering.py — User-CF &amp; Item-CF + Z-score</w:t>
        <w:br/>
        <w:t xml:space="preserve">    evaluation.py          — MAE, RMSE, Precision@K, Recall@K, t检验</w:t>
        <w:br/>
        <w:t xml:space="preserve">    visualization.py       — 12 张可视化图表</w:t>
        <w:br/>
        <w:t xml:space="preserve">    run_experiment.py      — 主实验编排脚本</w:t>
        <w:br/>
        <w:t xml:space="preserve">  results/</w:t>
        <w:br/>
        <w:t xml:space="preserve">    experiment_results.json — 全部数值结果</w:t>
        <w:br/>
        <w:t xml:space="preserve">    01-12_*.png             — 全部图表</w:t>
        <w:br/>
        <w:t xml:space="preserve">  generate_report.py        — 英文版报告生成器</w:t>
        <w:br/>
        <w:t xml:space="preserve">  generate_report_cn.py     — 中文版报告生成器（本脚本）</w:t>
        <w:br/>
      </w:r>
    </w:p>
    <w:p>
      <w:r>
        <w:rPr>
          <w:rFonts w:ascii="宋体" w:hAnsi="宋体"/>
          <w:b w:val="0"/>
          <w:sz w:val="22"/>
        </w:rPr>
        <w:t>复现方法：激活 Python 环境后，在项目目录下执行 python -c "from src.run_experiment import main; main()"。实验总耗时约 3–5 分钟（取决于 CPU 性能）。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