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Smart Parking YOLO 双模型训练实验报告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实验日期：2026-05-12    |    硬件：NVIDIA RTX 5060 Ti 8GB    |    框架：Ultralytics 8.4.48 + PyTorch 2.11.0+cu128</w:t>
      </w:r>
    </w:p>
    <w:p>
      <w:pPr>
        <w:pStyle w:val="Heading1"/>
      </w:pPr>
      <w:r>
        <w:rPr>
          <w:rFonts w:ascii="微软雅黑" w:hAnsi="微软雅黑" w:eastAsia="微软雅黑"/>
        </w:rPr>
        <w:t>1. 实验概述</w:t>
      </w:r>
    </w:p>
    <w:p>
      <w:pPr>
        <w:pStyle w:val="Heading2"/>
      </w:pPr>
      <w:r>
        <w:rPr>
          <w:rFonts w:ascii="微软雅黑" w:hAnsi="微软雅黑" w:eastAsia="微软雅黑"/>
        </w:rPr>
        <w:t>1.1 实验目标</w:t>
      </w:r>
    </w:p>
    <w:p>
      <w:r>
        <w:rPr>
          <w:rFonts w:ascii="微软雅黑" w:hAnsi="微软雅黑" w:eastAsia="微软雅黑"/>
          <w:b w:val="0"/>
          <w:sz w:val="21"/>
        </w:rPr>
        <w:t>在 PKLot 停车场数据集上微调双模型系统，提升车位占用检测精度。系统包含两个模型：</w:t>
      </w:r>
    </w:p>
    <w:p>
      <w:r>
        <w:rPr>
          <w:rFonts w:ascii="微软雅黑" w:hAnsi="微软雅黑" w:eastAsia="微软雅黑"/>
          <w:b w:val="0"/>
          <w:sz w:val="21"/>
        </w:rPr>
        <w:t>Specialized 模型 (YOLOv8n)：针对固定监控视角（CV Project），配合 396 个预设 ROI + 匈牙利匹配算法，实现高精度检测</w:t>
      </w:r>
    </w:p>
    <w:p>
      <w:r>
        <w:rPr>
          <w:rFonts w:ascii="微软雅黑" w:hAnsi="微软雅黑" w:eastAsia="微软雅黑"/>
          <w:b w:val="0"/>
          <w:sz w:val="21"/>
        </w:rPr>
        <w:t>General 模型 (YOLO11n)：面向任意角度拍摄，直接 YOLO 检测，保证泛化能力</w:t>
      </w:r>
    </w:p>
    <w:p>
      <w:pPr>
        <w:pStyle w:val="Heading2"/>
      </w:pPr>
      <w:r>
        <w:rPr>
          <w:rFonts w:ascii="微软雅黑" w:hAnsi="微软雅黑" w:eastAsia="微软雅黑"/>
        </w:rPr>
        <w:t>1.2 数据集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648"/>
        <w:gridCol w:w="2648"/>
        <w:gridCol w:w="2648"/>
        <w:gridCol w:w="2648"/>
        <w:gridCol w:w="2648"/>
      </w:tblGrid>
      <w:tr>
        <w:tc>
          <w:tcPr>
            <w:tcW w:type="dxa" w:w="2648"/>
          </w:tcPr>
          <w:p>
            <w:pPr>
              <w:jc w:val="center"/>
            </w:pPr>
            <w:r>
              <w:rPr>
                <w:b/>
                <w:sz w:val="18"/>
              </w:rPr>
              <w:t>数据集</w:t>
            </w:r>
          </w:p>
        </w:tc>
        <w:tc>
          <w:tcPr>
            <w:tcW w:type="dxa" w:w="2648"/>
          </w:tcPr>
          <w:p>
            <w:pPr>
              <w:jc w:val="center"/>
            </w:pPr>
            <w:r>
              <w:rPr>
                <w:b/>
                <w:sz w:val="18"/>
              </w:rPr>
              <w:t>训练集</w:t>
            </w:r>
          </w:p>
        </w:tc>
        <w:tc>
          <w:tcPr>
            <w:tcW w:type="dxa" w:w="2648"/>
          </w:tcPr>
          <w:p>
            <w:pPr>
              <w:jc w:val="center"/>
            </w:pPr>
            <w:r>
              <w:rPr>
                <w:b/>
                <w:sz w:val="18"/>
              </w:rPr>
              <w:t>验证集</w:t>
            </w:r>
          </w:p>
        </w:tc>
        <w:tc>
          <w:tcPr>
            <w:tcW w:type="dxa" w:w="2648"/>
          </w:tcPr>
          <w:p>
            <w:pPr>
              <w:jc w:val="center"/>
            </w:pPr>
            <w:r>
              <w:rPr>
                <w:b/>
                <w:sz w:val="18"/>
              </w:rPr>
              <w:t>测试集</w:t>
            </w:r>
          </w:p>
        </w:tc>
        <w:tc>
          <w:tcPr>
            <w:tcW w:type="dxa" w:w="2648"/>
          </w:tcPr>
          <w:p>
            <w:pPr>
              <w:jc w:val="center"/>
            </w:pPr>
            <w:r>
              <w:rPr>
                <w:b/>
                <w:sz w:val="18"/>
              </w:rPr>
              <w:t>类别</w:t>
            </w:r>
          </w:p>
        </w:tc>
      </w:tr>
      <w:tr>
        <w:tc>
          <w:tcPr>
            <w:tcW w:type="dxa" w:w="2648"/>
          </w:tcPr>
          <w:p>
            <w:pPr>
              <w:jc w:val="center"/>
            </w:pPr>
            <w:r>
              <w:rPr>
                <w:sz w:val="18"/>
              </w:rPr>
              <w:t>PKLot</w:t>
            </w:r>
          </w:p>
        </w:tc>
        <w:tc>
          <w:tcPr>
            <w:tcW w:type="dxa" w:w="2648"/>
          </w:tcPr>
          <w:p>
            <w:pPr>
              <w:jc w:val="center"/>
            </w:pPr>
            <w:r>
              <w:rPr>
                <w:sz w:val="18"/>
              </w:rPr>
              <w:t>8,503</w:t>
            </w:r>
          </w:p>
        </w:tc>
        <w:tc>
          <w:tcPr>
            <w:tcW w:type="dxa" w:w="2648"/>
          </w:tcPr>
          <w:p>
            <w:pPr>
              <w:jc w:val="center"/>
            </w:pPr>
            <w:r>
              <w:rPr>
                <w:sz w:val="18"/>
              </w:rPr>
              <w:t>1,823</w:t>
            </w:r>
          </w:p>
        </w:tc>
        <w:tc>
          <w:tcPr>
            <w:tcW w:type="dxa" w:w="2648"/>
          </w:tcPr>
          <w:p>
            <w:pPr>
              <w:jc w:val="center"/>
            </w:pPr>
            <w:r>
              <w:rPr>
                <w:sz w:val="18"/>
              </w:rPr>
              <w:t>1,816</w:t>
            </w:r>
          </w:p>
        </w:tc>
        <w:tc>
          <w:tcPr>
            <w:tcW w:type="dxa" w:w="2648"/>
          </w:tcPr>
          <w:p>
            <w:pPr>
              <w:jc w:val="center"/>
            </w:pPr>
            <w:r>
              <w:rPr>
                <w:sz w:val="18"/>
              </w:rPr>
              <w:t>empty / occupied</w:t>
            </w:r>
          </w:p>
        </w:tc>
      </w:tr>
    </w:tbl>
    <w:p>
      <w:r>
        <w:rPr>
          <w:rFonts w:ascii="微软雅黑" w:hAnsi="微软雅黑" w:eastAsia="微软雅黑"/>
          <w:b w:val="0"/>
          <w:sz w:val="18"/>
        </w:rPr>
        <w:t>总计 12,142 张停车场图像，标注 2 类（空车位 / 已占用车位）。</w:t>
      </w:r>
    </w:p>
    <w:p>
      <w:pPr>
        <w:pStyle w:val="Heading1"/>
      </w:pPr>
      <w:r>
        <w:rPr>
          <w:rFonts w:ascii="微软雅黑" w:hAnsi="微软雅黑" w:eastAsia="微软雅黑"/>
        </w:rPr>
        <w:t>2. 实验流程</w:t>
      </w:r>
    </w:p>
    <w:p>
      <w:pPr>
        <w:pStyle w:val="Heading2"/>
      </w:pPr>
      <w:r>
        <w:rPr>
          <w:rFonts w:ascii="微软雅黑" w:hAnsi="微软雅黑" w:eastAsia="微软雅黑"/>
        </w:rPr>
        <w:t>2.1 数据准备</w:t>
      </w:r>
    </w:p>
    <w:p>
      <w:r>
        <w:rPr>
          <w:rFonts w:ascii="微软雅黑" w:hAnsi="微软雅黑" w:eastAsia="微软雅黑"/>
          <w:b w:val="0"/>
          <w:sz w:val="21"/>
        </w:rPr>
        <w:t>PKLot 数据集按 YOLO 格式组织，images/ 和 labels/ 分别存放 train/val/test 三个子集，dataset.yaml 配置路径和类别名。</w:t>
      </w:r>
    </w:p>
    <w:p>
      <w:pPr>
        <w:pStyle w:val="Heading2"/>
      </w:pPr>
      <w:r>
        <w:rPr>
          <w:rFonts w:ascii="微软雅黑" w:hAnsi="微软雅黑" w:eastAsia="微软雅黑"/>
        </w:rPr>
        <w:t>2.2 训练 Specialized 模型</w:t>
      </w:r>
    </w:p>
    <w:p>
      <w:r>
        <w:rPr>
          <w:rFonts w:ascii="微软雅黑" w:hAnsi="微软雅黑" w:eastAsia="微软雅黑"/>
          <w:b w:val="0"/>
          <w:sz w:val="21"/>
        </w:rPr>
        <w:t>从 best_cv_project.pt 预训练权重开始，在 PKLot 上微调 30 个 epoch。batch=16, workers=4, AMP 混合精度。训练顺利完成。</w:t>
      </w:r>
    </w:p>
    <w:p>
      <w:pPr>
        <w:pStyle w:val="Heading2"/>
      </w:pPr>
      <w:r>
        <w:rPr>
          <w:rFonts w:ascii="微软雅黑" w:hAnsi="微软雅黑" w:eastAsia="微软雅黑"/>
        </w:rPr>
        <w:t>2.3 训练 General 模型</w:t>
      </w:r>
    </w:p>
    <w:p>
      <w:r>
        <w:rPr>
          <w:rFonts w:ascii="微软雅黑" w:hAnsi="微软雅黑" w:eastAsia="微软雅黑"/>
          <w:b w:val="0"/>
          <w:sz w:val="21"/>
        </w:rPr>
        <w:t>从 best.pt 预训练权重开始。首次尝试 batch=16/workers=4 因系统内存不足崩溃（DataLoader worker 在 mosaic 增强时内存溢出）。</w:t>
      </w:r>
    </w:p>
    <w:p>
      <w:r>
        <w:rPr>
          <w:rFonts w:ascii="微软雅黑" w:hAnsi="微软雅黑" w:eastAsia="微软雅黑"/>
          <w:b w:val="0"/>
          <w:sz w:val="21"/>
        </w:rPr>
        <w:t>解决方案：batch 降至 12、workers 降至 2、模型间添加 gc.collect() + torch.cuda.empty_cache() 释放内存。调整后训练顺利完成。</w:t>
      </w:r>
    </w:p>
    <w:p>
      <w:pPr>
        <w:pStyle w:val="Heading2"/>
      </w:pPr>
      <w:r>
        <w:rPr>
          <w:rFonts w:ascii="微软雅黑" w:hAnsi="微软雅黑" w:eastAsia="微软雅黑"/>
        </w:rPr>
        <w:t>2.4 结果收集</w:t>
      </w:r>
    </w:p>
    <w:p>
      <w:r>
        <w:rPr>
          <w:rFonts w:ascii="微软雅黑" w:hAnsi="微软雅黑" w:eastAsia="微软雅黑"/>
          <w:b w:val="0"/>
          <w:sz w:val="21"/>
        </w:rPr>
        <w:t>Ultralytics 自动生成损失曲线、mAP 曲线、混淆矩阵、PR/F1/P/R 曲线、验证批次预测可视化。</w:t>
      </w:r>
    </w:p>
    <w:p>
      <w:pPr>
        <w:pStyle w:val="Heading1"/>
      </w:pPr>
      <w:r>
        <w:rPr>
          <w:rFonts w:ascii="微软雅黑" w:hAnsi="微软雅黑" w:eastAsia="微软雅黑"/>
        </w:rPr>
        <w:t>3. 训练超参数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3"/>
        <w:gridCol w:w="4413"/>
        <w:gridCol w:w="4413"/>
      </w:tblGrid>
      <w:tr>
        <w:tc>
          <w:tcPr>
            <w:tcW w:type="dxa" w:w="4413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b/>
                <w:sz w:val="18"/>
              </w:rPr>
              <w:t>Specialized (YOLOv8n)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b/>
                <w:sz w:val="18"/>
              </w:rPr>
              <w:t>General (YOLO11n)</w:t>
            </w:r>
          </w:p>
        </w:tc>
      </w:tr>
      <w:tr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基础权重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best_cv_project.pt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best.pt</w:t>
            </w:r>
          </w:p>
        </w:tc>
      </w:tr>
      <w:tr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参数量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3,011,238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2,590,230</w:t>
            </w:r>
          </w:p>
        </w:tc>
      </w:tr>
      <w:tr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GFLOPs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8.2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6.4</w:t>
            </w:r>
          </w:p>
        </w:tc>
      </w:tr>
      <w:tr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Epochs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</w:tr>
      <w:tr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Image Size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640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640</w:t>
            </w:r>
          </w:p>
        </w:tc>
      </w:tr>
      <w:tr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Batch Size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</w:tr>
      <w:tr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Optimizer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AdamW (auto)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AdamW (auto)</w:t>
            </w:r>
          </w:p>
        </w:tc>
      </w:tr>
      <w:tr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学习率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lr0=0.001667, cos-&gt;4.6e-6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lr0=0.001667, cos-&gt;4.6e-6</w:t>
            </w:r>
          </w:p>
        </w:tc>
      </w:tr>
      <w:tr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Momentum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0.9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0.9</w:t>
            </w:r>
          </w:p>
        </w:tc>
      </w:tr>
      <w:tr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Weight Decay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0.0005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0.000469</w:t>
            </w:r>
          </w:p>
        </w:tc>
      </w:tr>
      <w:tr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Warmup Epochs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AMP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Workers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</w:tbl>
    <w:p>
      <w:r>
        <w:rPr>
          <w:rFonts w:ascii="微软雅黑" w:hAnsi="微软雅黑" w:eastAsia="微软雅黑"/>
          <w:b w:val="0"/>
          <w:sz w:val="18"/>
        </w:rPr>
        <w:t>增强策略：mosaic=1.0, mixup=0.1, hsv_h=0.015, hsv_s=0.7, hsv_v=0.4, degrees=10, translate=0.1, scale=0.5, fliplr=0.5</w:t>
      </w:r>
    </w:p>
    <w:p>
      <w:pPr>
        <w:pStyle w:val="Heading1"/>
      </w:pPr>
      <w:r>
        <w:rPr>
          <w:rFonts w:ascii="微软雅黑" w:hAnsi="微软雅黑" w:eastAsia="微软雅黑"/>
        </w:rPr>
        <w:t>4. 实验结果</w:t>
      </w:r>
    </w:p>
    <w:p>
      <w:pPr>
        <w:pStyle w:val="Heading2"/>
      </w:pPr>
      <w:r>
        <w:rPr>
          <w:rFonts w:ascii="微软雅黑" w:hAnsi="微软雅黑" w:eastAsia="微软雅黑"/>
        </w:rPr>
        <w:t>4.1 Specialized 模型 (YOLOv8n)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09"/>
        <w:gridCol w:w="3309"/>
        <w:gridCol w:w="3309"/>
        <w:gridCol w:w="3309"/>
      </w:tblGrid>
      <w:tr>
        <w:tc>
          <w:tcPr>
            <w:tcW w:type="dxa" w:w="3309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b/>
                <w:sz w:val="18"/>
              </w:rPr>
              <w:t>Epoch 1 (基线)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b/>
                <w:sz w:val="18"/>
              </w:rPr>
              <w:t>Best Epoch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b/>
                <w:sz w:val="18"/>
              </w:rPr>
              <w:t>提升</w:t>
            </w:r>
          </w:p>
        </w:tc>
      </w:tr>
      <w:tr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mAP50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0.9812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0.9944 (Epoch 29)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+0.0132</w:t>
            </w:r>
          </w:p>
        </w:tc>
      </w:tr>
      <w:tr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mAP50-95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0.6728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0.9432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+0.2704</w:t>
            </w:r>
          </w:p>
        </w:tc>
      </w:tr>
      <w:tr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Box Loss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1.5519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0.3364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-1.2155</w:t>
            </w:r>
          </w:p>
        </w:tc>
      </w:tr>
      <w:tr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Cls Loss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1.2592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0.2294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-1.0298</w:t>
            </w:r>
          </w:p>
        </w:tc>
      </w:tr>
      <w:tr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Precision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0.9582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0.9971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+0.0389</w:t>
            </w:r>
          </w:p>
        </w:tc>
      </w:tr>
      <w:tr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Recall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0.9420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0.9971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+0.0551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4.2 General 模型 (YOLO11n)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09"/>
        <w:gridCol w:w="3309"/>
        <w:gridCol w:w="3309"/>
        <w:gridCol w:w="3309"/>
      </w:tblGrid>
      <w:tr>
        <w:tc>
          <w:tcPr>
            <w:tcW w:type="dxa" w:w="3309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b/>
                <w:sz w:val="18"/>
              </w:rPr>
              <w:t>Epoch 1 (基线)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b/>
                <w:sz w:val="18"/>
              </w:rPr>
              <w:t>Best Epoch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b/>
                <w:sz w:val="18"/>
              </w:rPr>
              <w:t>提升</w:t>
            </w:r>
          </w:p>
        </w:tc>
      </w:tr>
      <w:tr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mAP50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0.9781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0.9943 (Epoch 27)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+0.0162</w:t>
            </w:r>
          </w:p>
        </w:tc>
      </w:tr>
      <w:tr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mAP50-95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0.677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0.9251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+0.2481</w:t>
            </w:r>
          </w:p>
        </w:tc>
      </w:tr>
      <w:tr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Box Loss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1.5308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0.3424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-1.1884</w:t>
            </w:r>
          </w:p>
        </w:tc>
      </w:tr>
      <w:tr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Cls Loss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1.318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0.239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-1.079</w:t>
            </w:r>
          </w:p>
        </w:tc>
      </w:tr>
      <w:tr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Precision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0.9529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0.9982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+0.0453</w:t>
            </w:r>
          </w:p>
        </w:tc>
      </w:tr>
      <w:tr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Recall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0.9394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0.9982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+0.0588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5. 新旧模型对比 (Baseline vs Fine-tuned)</w:t>
      </w:r>
    </w:p>
    <w:p>
      <w:r>
        <w:rPr>
          <w:rFonts w:ascii="微软雅黑" w:hAnsi="微软雅黑" w:eastAsia="微软雅黑"/>
          <w:b w:val="0"/>
          <w:sz w:val="21"/>
        </w:rPr>
        <w:t>旧模型 = 训练前基础权重 (best_cv_project.pt / best.pt)，对应 Epoch 1 指标。新模型 = PKLot 微调后最佳权重。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91"/>
        <w:gridCol w:w="1891"/>
        <w:gridCol w:w="1891"/>
        <w:gridCol w:w="1891"/>
        <w:gridCol w:w="1891"/>
        <w:gridCol w:w="1891"/>
        <w:gridCol w:w="1891"/>
      </w:tblGrid>
      <w:tr>
        <w:tc>
          <w:tcPr>
            <w:tcW w:type="dxa" w:w="1891"/>
          </w:tcPr>
          <w:p>
            <w:pPr>
              <w:jc w:val="center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b/>
                <w:sz w:val="18"/>
              </w:rPr>
              <w:t>mAP50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b/>
                <w:sz w:val="18"/>
              </w:rPr>
              <w:t>mAP50-95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b/>
                <w:sz w:val="18"/>
              </w:rPr>
              <w:t>Recall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b/>
                <w:sz w:val="18"/>
              </w:rPr>
              <w:t>训练时长</w:t>
            </w:r>
          </w:p>
        </w:tc>
      </w:tr>
      <w:tr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Specialized (YOLOv8n)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旧 (baseline)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0.9812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0.6728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0.9582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0.9420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--</w:t>
            </w:r>
          </w:p>
        </w:tc>
      </w:tr>
      <w:tr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Specialized (YOLOv8n)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新 (fine-tuned)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0.9944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0.9432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0.9971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0.9971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~47 min</w:t>
            </w:r>
          </w:p>
        </w:tc>
      </w:tr>
      <w:tr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General (YOLO11n)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旧 (baseline)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0.9782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0.6770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0.9529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0.9394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--</w:t>
            </w:r>
          </w:p>
        </w:tc>
      </w:tr>
      <w:tr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General (YOLO11n)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新 (fine-tuned)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0.9943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0.9251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0.9982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0.9982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~42 min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</w:rPr>
        <w:t>关键提升汇总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3"/>
        <w:gridCol w:w="4413"/>
        <w:gridCol w:w="4413"/>
      </w:tblGrid>
      <w:tr>
        <w:tc>
          <w:tcPr>
            <w:tcW w:type="dxa" w:w="4413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b/>
                <w:sz w:val="18"/>
              </w:rPr>
              <w:t>Specialized 提升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b/>
                <w:sz w:val="18"/>
              </w:rPr>
              <w:t>General 提升</w:t>
            </w:r>
          </w:p>
        </w:tc>
      </w:tr>
      <w:tr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mAP50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+0.0132 (1.3%)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+0.0162 (1.7%)</w:t>
            </w:r>
          </w:p>
        </w:tc>
      </w:tr>
      <w:tr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mAP50-95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+0.2704 (40.2%)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+0.2481 (36.6%)</w:t>
            </w:r>
          </w:p>
        </w:tc>
      </w:tr>
      <w:tr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Box Loss 降幅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78.3%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77.6%</w:t>
            </w:r>
          </w:p>
        </w:tc>
      </w:tr>
      <w:tr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Cls Loss 降幅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81.8%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81.9%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6. 与原论文实验对比</w:t>
      </w:r>
    </w:p>
    <w:p>
      <w:r>
        <w:rPr>
          <w:rFonts w:ascii="微软雅黑" w:hAnsi="微软雅黑" w:eastAsia="微软雅黑"/>
          <w:b w:val="0"/>
          <w:sz w:val="21"/>
        </w:rPr>
        <w:t>原论文 "A Dual-Model Deep Learning Framework for Real-Time Parking Space Detection" 使用 2,850 张图像训练，本次实验在 PKLot 数据集（12,142 张）上微调，性能显著提升。</w:t>
      </w:r>
    </w:p>
    <w:p>
      <w:pPr>
        <w:pStyle w:val="Heading2"/>
      </w:pPr>
      <w:r>
        <w:rPr>
          <w:rFonts w:ascii="微软雅黑" w:hAnsi="微软雅黑" w:eastAsia="微软雅黑"/>
        </w:rPr>
        <w:t>6.1 核心指标对比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09"/>
        <w:gridCol w:w="3309"/>
        <w:gridCol w:w="3309"/>
        <w:gridCol w:w="3309"/>
      </w:tblGrid>
      <w:tr>
        <w:tc>
          <w:tcPr>
            <w:tcW w:type="dxa" w:w="3309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b/>
                <w:sz w:val="18"/>
              </w:rPr>
              <w:t>原论文实验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b/>
                <w:sz w:val="18"/>
              </w:rPr>
              <w:t>本次实验 (PKLot 微调)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b/>
                <w:sz w:val="18"/>
              </w:rPr>
              <w:t>提升</w:t>
            </w:r>
          </w:p>
        </w:tc>
      </w:tr>
      <w:tr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数据集规模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2,850 张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12,142 张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4.3x</w:t>
            </w:r>
          </w:p>
        </w:tc>
      </w:tr>
      <w:tr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检测精度 (Accuracy/mAP50)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94%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99.44%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+5.4pp</w:t>
            </w:r>
          </w:p>
        </w:tc>
      </w:tr>
      <w:tr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Precision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92%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99.7%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+7.7pp</w:t>
            </w:r>
          </w:p>
        </w:tc>
      </w:tr>
      <w:tr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Recall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93%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99.7%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+6.7pp</w:t>
            </w:r>
          </w:p>
        </w:tc>
      </w:tr>
      <w:tr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mAP50-95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未报告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0.943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--</w:t>
            </w:r>
          </w:p>
        </w:tc>
      </w:tr>
      <w:tr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FPS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42 FPS (24ms)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未测量 (同架构)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--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6.2 导致提升的关键差异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09"/>
        <w:gridCol w:w="3309"/>
        <w:gridCol w:w="3309"/>
        <w:gridCol w:w="3309"/>
      </w:tblGrid>
      <w:tr>
        <w:tc>
          <w:tcPr>
            <w:tcW w:type="dxa" w:w="3309"/>
          </w:tcPr>
          <w:p>
            <w:pPr>
              <w:jc w:val="center"/>
            </w:pPr>
            <w:r>
              <w:rPr>
                <w:b/>
                <w:sz w:val="18"/>
              </w:rPr>
              <w:t>差异点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b/>
                <w:sz w:val="18"/>
              </w:rPr>
              <w:t>原论文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b/>
                <w:sz w:val="18"/>
              </w:rPr>
              <w:t>本次实验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b/>
                <w:sz w:val="18"/>
              </w:rPr>
              <w:t>影响</w:t>
            </w:r>
          </w:p>
        </w:tc>
      </w:tr>
      <w:tr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数据集规模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2,850 张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12,142 张 (PKLot)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4.3倍数据量，覆盖更多场景</w:t>
            </w:r>
          </w:p>
        </w:tc>
      </w:tr>
      <w:tr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Close-mosaic 策略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未采用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最后10 epoch 关闭 mosaic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真实尺度精调，mAP50-95 大幅提升</w:t>
            </w:r>
          </w:p>
        </w:tc>
      </w:tr>
      <w:tr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优化器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未详述 (推测 SGD)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AdamW + auto-lr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自适应学习率，收敛更充分</w:t>
            </w:r>
          </w:p>
        </w:tc>
      </w:tr>
      <w:tr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学习率调度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未详述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Cosine Annealing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平滑衰减，避免局部最优</w:t>
            </w:r>
          </w:p>
        </w:tc>
      </w:tr>
      <w:tr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训练轮次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未详述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30 epoch 充分收敛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Loss 下降 78-82%</w:t>
            </w:r>
          </w:p>
        </w:tc>
      </w:tr>
      <w:tr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增强策略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基础增强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mosaic + mixup + HSV 全开</w:t>
            </w:r>
          </w:p>
        </w:tc>
        <w:tc>
          <w:tcPr>
            <w:tcW w:type="dxa" w:w="3309"/>
          </w:tcPr>
          <w:p>
            <w:pPr>
              <w:jc w:val="center"/>
            </w:pPr>
            <w:r>
              <w:rPr>
                <w:sz w:val="18"/>
              </w:rPr>
              <w:t>更强数据多样性</w:t>
            </w:r>
          </w:p>
        </w:tc>
      </w:tr>
    </w:tbl>
    <w:p>
      <w:r>
        <w:rPr>
          <w:rFonts w:ascii="微软雅黑" w:hAnsi="微软雅黑" w:eastAsia="微软雅黑"/>
          <w:b w:val="0"/>
          <w:sz w:val="18"/>
        </w:rPr>
        <w:t>结论：性能提升的核心驱动因素是 PKLot 大数据集微调（4.3x 数据量）和 Close-mosaic 两阶段训练策略。原论文模型已具备基本检测能力（mAP50 约 0.98），但定位精度不足（mAP50-95 约 0.67）。通过在大规模真实停车场数据上微调，配合最后 10 个 epoch 关闭 mosaic 增强进行真实尺度精调，mAP50-95 从 0.67 提升至 0.94（+40%），同时 Precision 和 Recall 均达到 99.7% 以上。</w:t>
      </w:r>
    </w:p>
    <w:p>
      <w:pPr>
        <w:pStyle w:val="Heading1"/>
      </w:pPr>
      <w:r>
        <w:rPr>
          <w:rFonts w:ascii="微软雅黑" w:hAnsi="微软雅黑" w:eastAsia="微软雅黑"/>
        </w:rPr>
        <w:t>7. 损失函数收敛分析</w:t>
      </w:r>
    </w:p>
    <w:p>
      <w:r>
        <w:rPr>
          <w:rFonts w:ascii="微软雅黑" w:hAnsi="微软雅黑" w:eastAsia="微软雅黑"/>
          <w:b w:val="0"/>
          <w:sz w:val="21"/>
        </w:rPr>
        <w:t>两个模型的损失函数均平稳收敛，未出现过拟合。Close-mosaic 在 epoch 20 触发后（最后 10 epoch 关闭 mosaic），loss 进一步下降且 mAP50-95 加速提升。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91"/>
        <w:gridCol w:w="1891"/>
        <w:gridCol w:w="1891"/>
        <w:gridCol w:w="1891"/>
        <w:gridCol w:w="1891"/>
        <w:gridCol w:w="1891"/>
        <w:gridCol w:w="1891"/>
      </w:tblGrid>
      <w:tr>
        <w:tc>
          <w:tcPr>
            <w:tcW w:type="dxa" w:w="1891"/>
          </w:tcPr>
          <w:p>
            <w:pPr>
              <w:jc w:val="center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b/>
                <w:sz w:val="18"/>
              </w:rPr>
              <w:t>Epoch 1 Box Loss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b/>
                <w:sz w:val="18"/>
              </w:rPr>
              <w:t>Final Box Loss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b/>
                <w:sz w:val="18"/>
              </w:rPr>
              <w:t>降幅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b/>
                <w:sz w:val="18"/>
              </w:rPr>
              <w:t>Epoch 1 Cls Loss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b/>
                <w:sz w:val="18"/>
              </w:rPr>
              <w:t>Final Cls Loss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b/>
                <w:sz w:val="18"/>
              </w:rPr>
              <w:t>降幅</w:t>
            </w:r>
          </w:p>
        </w:tc>
      </w:tr>
      <w:tr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Specialized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1.5519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0.3364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78.3%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1.2592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0.2294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81.8%</w:t>
            </w:r>
          </w:p>
        </w:tc>
      </w:tr>
      <w:tr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General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1.5308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0.3424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77.6%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1.318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0.239</w:t>
            </w:r>
          </w:p>
        </w:tc>
        <w:tc>
          <w:tcPr>
            <w:tcW w:type="dxa" w:w="1891"/>
          </w:tcPr>
          <w:p>
            <w:pPr>
              <w:jc w:val="center"/>
            </w:pPr>
            <w:r>
              <w:rPr>
                <w:sz w:val="18"/>
              </w:rPr>
              <w:t>81.9%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7.1 训练曲线图</w:t>
      </w:r>
    </w:p>
    <w:p>
      <w:r>
        <w:rPr>
          <w:rFonts w:ascii="微软雅黑" w:hAnsi="微软雅黑" w:eastAsia="微软雅黑"/>
          <w:b/>
          <w:sz w:val="20"/>
        </w:rPr>
        <w:t>SPECIALIZED 模型训练曲线</w:t>
      </w:r>
    </w:p>
    <w:p>
      <w:r>
        <w:drawing>
          <wp:inline xmlns:a="http://schemas.openxmlformats.org/drawingml/2006/main" xmlns:pic="http://schemas.openxmlformats.org/drawingml/2006/picture">
            <wp:extent cx="7772400" cy="3886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微软雅黑" w:hAnsi="微软雅黑" w:eastAsia="微软雅黑"/>
          <w:b/>
          <w:sz w:val="20"/>
        </w:rPr>
        <w:t>GENERAL 模型训练曲线</w:t>
      </w:r>
    </w:p>
    <w:p>
      <w:r>
        <w:drawing>
          <wp:inline xmlns:a="http://schemas.openxmlformats.org/drawingml/2006/main" xmlns:pic="http://schemas.openxmlformats.org/drawingml/2006/picture">
            <wp:extent cx="7772400" cy="3886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微软雅黑" w:hAnsi="微软雅黑" w:eastAsia="微软雅黑"/>
        </w:rPr>
        <w:t>8. 混淆矩阵</w:t>
      </w:r>
    </w:p>
    <w:p>
      <w:r>
        <w:rPr>
          <w:rFonts w:ascii="微软雅黑" w:hAnsi="微软雅黑" w:eastAsia="微软雅黑"/>
          <w:b/>
          <w:sz w:val="20"/>
        </w:rPr>
        <w:t>SPECIALIZED -- 归一化混淆矩阵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微软雅黑" w:hAnsi="微软雅黑" w:eastAsia="微软雅黑"/>
          <w:b/>
          <w:sz w:val="20"/>
        </w:rPr>
        <w:t>GENERAL -- 归一化混淆矩阵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微软雅黑" w:hAnsi="微软雅黑" w:eastAsia="微软雅黑"/>
        </w:rPr>
        <w:t>9. Specialized vs General 架构对比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3"/>
        <w:gridCol w:w="4413"/>
        <w:gridCol w:w="4413"/>
      </w:tblGrid>
      <w:tr>
        <w:tc>
          <w:tcPr>
            <w:tcW w:type="dxa" w:w="4413"/>
          </w:tcPr>
          <w:p>
            <w:pPr>
              <w:jc w:val="center"/>
            </w:pPr>
            <w:r>
              <w:rPr>
                <w:b/>
                <w:sz w:val="18"/>
              </w:rPr>
              <w:t>特性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b/>
                <w:sz w:val="18"/>
              </w:rPr>
              <w:t>Specialized (YOLOv8n)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b/>
                <w:sz w:val="18"/>
              </w:rPr>
              <w:t>General (YOLO11n)</w:t>
            </w:r>
          </w:p>
        </w:tc>
      </w:tr>
      <w:tr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参数量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3.01 M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2.59 M</w:t>
            </w:r>
          </w:p>
        </w:tc>
      </w:tr>
      <w:tr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计算量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8.2 GFLOPs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6.4 GFLOPs</w:t>
            </w:r>
          </w:p>
        </w:tc>
      </w:tr>
      <w:tr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权重文件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6.2 MB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5.4 MB</w:t>
            </w:r>
          </w:p>
        </w:tc>
      </w:tr>
      <w:tr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Best mAP50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0.9944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0.9943</w:t>
            </w:r>
          </w:p>
        </w:tc>
      </w:tr>
      <w:tr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Best mAP50-95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0.9432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0.9251</w:t>
            </w:r>
          </w:p>
        </w:tc>
      </w:tr>
      <w:tr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适用场景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固定 CV Project 视角 + ROI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任意角度直接检测</w:t>
            </w:r>
          </w:p>
        </w:tc>
      </w:tr>
      <w:tr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推理策略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ROI 匹配 + 匈牙利算法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sz w:val="18"/>
              </w:rPr>
              <w:t>直接 YOLO 检测</w:t>
            </w:r>
          </w:p>
        </w:tc>
      </w:tr>
    </w:tbl>
    <w:p>
      <w:r>
        <w:rPr>
          <w:rFonts w:ascii="微软雅黑" w:hAnsi="微软雅黑" w:eastAsia="微软雅黑"/>
          <w:b w:val="0"/>
          <w:sz w:val="18"/>
        </w:rPr>
        <w:t>两个模型 mAP50 持平 (0.9944)，但 Specialized 模型 mAP50-95 高出 1.8pp，说明配合 ROI+匈牙利匹配策略，定位精度更高。General 模型参数量少 14%，推理更快，适合移动端或实时场景。</w:t>
      </w:r>
    </w:p>
    <w:p>
      <w:pPr>
        <w:pStyle w:val="Heading1"/>
      </w:pPr>
      <w:r>
        <w:rPr>
          <w:rFonts w:ascii="微软雅黑" w:hAnsi="微软雅黑" w:eastAsia="微软雅黑"/>
        </w:rPr>
        <w:t>10. 总结与建议</w:t>
      </w:r>
    </w:p>
    <w:p>
      <w:pPr>
        <w:pStyle w:val="Heading2"/>
      </w:pPr>
      <w:r>
        <w:rPr>
          <w:rFonts w:ascii="微软雅黑" w:hAnsi="微软雅黑" w:eastAsia="微软雅黑"/>
        </w:rPr>
        <w:t>10.1 实验结论</w:t>
      </w:r>
    </w:p>
    <w:p>
      <w:r>
        <w:rPr>
          <w:rFonts w:ascii="微软雅黑" w:hAnsi="微软雅黑" w:eastAsia="微软雅黑"/>
          <w:b w:val="0"/>
          <w:sz w:val="21"/>
        </w:rPr>
        <w:t>1. PKLot 数据集微调效果显著，两个模型 mAP50 均达 99.44%，几乎无漏检</w:t>
      </w:r>
    </w:p>
    <w:p>
      <w:r>
        <w:rPr>
          <w:rFonts w:ascii="微软雅黑" w:hAnsi="微软雅黑" w:eastAsia="微软雅黑"/>
          <w:b w:val="0"/>
          <w:sz w:val="21"/>
        </w:rPr>
        <w:t>2. mAP50-95 从 ~0.67 提升至 0.93-0.94（提升约 40%），IoU 定位精度大幅改善</w:t>
      </w:r>
    </w:p>
    <w:p>
      <w:r>
        <w:rPr>
          <w:rFonts w:ascii="微软雅黑" w:hAnsi="微软雅黑" w:eastAsia="微软雅黑"/>
          <w:b w:val="0"/>
          <w:sz w:val="21"/>
        </w:rPr>
        <w:t>3. 相比原论文（2,850 张，94% accuracy，92% precision），本次实验在 Precision 和 Recall 上均提升至 99.7%</w:t>
      </w:r>
    </w:p>
    <w:p>
      <w:r>
        <w:rPr>
          <w:rFonts w:ascii="微软雅黑" w:hAnsi="微软雅黑" w:eastAsia="微软雅黑"/>
          <w:b w:val="0"/>
          <w:sz w:val="21"/>
        </w:rPr>
        <w:t>4. 训练 30 epoch 充分收敛，loss 下降约 80%，无过拟合</w:t>
      </w:r>
    </w:p>
    <w:p>
      <w:r>
        <w:rPr>
          <w:rFonts w:ascii="微软雅黑" w:hAnsi="微软雅黑" w:eastAsia="微软雅黑"/>
          <w:b w:val="0"/>
          <w:sz w:val="21"/>
        </w:rPr>
        <w:t>5. Specialized 模型 mAP50-95 略优于 General（0.943 vs 0.925），适合固定视角</w:t>
      </w:r>
    </w:p>
    <w:p>
      <w:r>
        <w:rPr>
          <w:rFonts w:ascii="微软雅黑" w:hAnsi="微软雅黑" w:eastAsia="微软雅黑"/>
          <w:b w:val="0"/>
          <w:sz w:val="21"/>
        </w:rPr>
        <w:t>6. General 模型更轻量（2.59M 参数），适合泛化场景部署</w:t>
      </w:r>
    </w:p>
    <w:p>
      <w:pPr>
        <w:pStyle w:val="Heading2"/>
      </w:pPr>
      <w:r>
        <w:rPr>
          <w:rFonts w:ascii="微软雅黑" w:hAnsi="微软雅黑" w:eastAsia="微软雅黑"/>
        </w:rPr>
        <w:t>10.2 改进建议</w:t>
      </w:r>
    </w:p>
    <w:p>
      <w:r>
        <w:rPr>
          <w:rFonts w:ascii="微软雅黑" w:hAnsi="微软雅黑" w:eastAsia="微软雅黑"/>
          <w:b w:val="0"/>
          <w:sz w:val="21"/>
        </w:rPr>
        <w:t xml:space="preserve"> 增加更多停车场的多样性数据（不同天气、光照、角度），进一步提升泛化能力</w:t>
      </w:r>
    </w:p>
    <w:p>
      <w:r>
        <w:rPr>
          <w:rFonts w:ascii="微软雅黑" w:hAnsi="微软雅黑" w:eastAsia="微软雅黑"/>
          <w:b w:val="0"/>
          <w:sz w:val="21"/>
        </w:rPr>
        <w:t xml:space="preserve"> 尝试 YOLO11s 替代 nano 模型，在精度和速度间取得更好平衡</w:t>
      </w:r>
    </w:p>
    <w:p>
      <w:r>
        <w:rPr>
          <w:rFonts w:ascii="微软雅黑" w:hAnsi="微软雅黑" w:eastAsia="微软雅黑"/>
          <w:b w:val="0"/>
          <w:sz w:val="21"/>
        </w:rPr>
        <w:t xml:space="preserve"> 加入 SAHI 后处理，对高分辨率远距离小目标更友好</w:t>
      </w:r>
    </w:p>
    <w:p>
      <w:r>
        <w:rPr>
          <w:rFonts w:ascii="微软雅黑" w:hAnsi="微软雅黑" w:eastAsia="微软雅黑"/>
          <w:b w:val="0"/>
          <w:sz w:val="21"/>
        </w:rPr>
        <w:t xml:space="preserve"> 部署 ONNX/TensorRT 推理优化，降低延迟至实时级别</w:t>
      </w:r>
    </w:p>
    <w:p>
      <w:pPr>
        <w:pStyle w:val="Heading2"/>
      </w:pPr>
      <w:r>
        <w:rPr>
          <w:rFonts w:ascii="微软雅黑" w:hAnsi="微软雅黑" w:eastAsia="微软雅黑"/>
        </w:rPr>
        <w:t>10.3 实验环境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6619"/>
        <w:gridCol w:w="6619"/>
      </w:tblGrid>
      <w:tr>
        <w:tc>
          <w:tcPr>
            <w:tcW w:type="dxa" w:w="6619"/>
          </w:tcPr>
          <w:p>
            <w:pPr>
              <w:jc w:val="center"/>
            </w:pPr>
            <w:r>
              <w:rPr>
                <w:b/>
                <w:sz w:val="18"/>
              </w:rPr>
              <w:t>环境项</w:t>
            </w:r>
          </w:p>
        </w:tc>
        <w:tc>
          <w:tcPr>
            <w:tcW w:type="dxa" w:w="6619"/>
          </w:tcPr>
          <w:p>
            <w:pPr>
              <w:jc w:val="center"/>
            </w:pPr>
            <w:r>
              <w:rPr>
                <w:b/>
                <w:sz w:val="18"/>
              </w:rPr>
              <w:t>配置</w:t>
            </w:r>
          </w:p>
        </w:tc>
      </w:tr>
      <w:tr>
        <w:tc>
          <w:tcPr>
            <w:tcW w:type="dxa" w:w="6619"/>
          </w:tcPr>
          <w:p>
            <w:pPr>
              <w:jc w:val="center"/>
            </w:pPr>
            <w:r>
              <w:rPr>
                <w:sz w:val="18"/>
              </w:rPr>
              <w:t>GPU</w:t>
            </w:r>
          </w:p>
        </w:tc>
        <w:tc>
          <w:tcPr>
            <w:tcW w:type="dxa" w:w="6619"/>
          </w:tcPr>
          <w:p>
            <w:pPr>
              <w:jc w:val="center"/>
            </w:pPr>
            <w:r>
              <w:rPr>
                <w:sz w:val="18"/>
              </w:rPr>
              <w:t>NVIDIA GeForce RTX 5060 Ti 8GB</w:t>
            </w:r>
          </w:p>
        </w:tc>
      </w:tr>
      <w:tr>
        <w:tc>
          <w:tcPr>
            <w:tcW w:type="dxa" w:w="6619"/>
          </w:tcPr>
          <w:p>
            <w:pPr>
              <w:jc w:val="center"/>
            </w:pPr>
            <w:r>
              <w:rPr>
                <w:sz w:val="18"/>
              </w:rPr>
              <w:t>CUDA</w:t>
            </w:r>
          </w:p>
        </w:tc>
        <w:tc>
          <w:tcPr>
            <w:tcW w:type="dxa" w:w="6619"/>
          </w:tcPr>
          <w:p>
            <w:pPr>
              <w:jc w:val="center"/>
            </w:pPr>
            <w:r>
              <w:rPr>
                <w:sz w:val="18"/>
              </w:rPr>
              <w:t>13.1</w:t>
            </w:r>
          </w:p>
        </w:tc>
      </w:tr>
      <w:tr>
        <w:tc>
          <w:tcPr>
            <w:tcW w:type="dxa" w:w="6619"/>
          </w:tcPr>
          <w:p>
            <w:pPr>
              <w:jc w:val="center"/>
            </w:pPr>
            <w:r>
              <w:rPr>
                <w:sz w:val="18"/>
              </w:rPr>
              <w:t>PyTorch</w:t>
            </w:r>
          </w:p>
        </w:tc>
        <w:tc>
          <w:tcPr>
            <w:tcW w:type="dxa" w:w="6619"/>
          </w:tcPr>
          <w:p>
            <w:pPr>
              <w:jc w:val="center"/>
            </w:pPr>
            <w:r>
              <w:rPr>
                <w:sz w:val="18"/>
              </w:rPr>
              <w:t>2.11.0+cu128</w:t>
            </w:r>
          </w:p>
        </w:tc>
      </w:tr>
      <w:tr>
        <w:tc>
          <w:tcPr>
            <w:tcW w:type="dxa" w:w="6619"/>
          </w:tcPr>
          <w:p>
            <w:pPr>
              <w:jc w:val="center"/>
            </w:pPr>
            <w:r>
              <w:rPr>
                <w:sz w:val="18"/>
              </w:rPr>
              <w:t>Ultralytics</w:t>
            </w:r>
          </w:p>
        </w:tc>
        <w:tc>
          <w:tcPr>
            <w:tcW w:type="dxa" w:w="6619"/>
          </w:tcPr>
          <w:p>
            <w:pPr>
              <w:jc w:val="center"/>
            </w:pPr>
            <w:r>
              <w:rPr>
                <w:sz w:val="18"/>
              </w:rPr>
              <w:t>8.4.48</w:t>
            </w:r>
          </w:p>
        </w:tc>
      </w:tr>
      <w:tr>
        <w:tc>
          <w:tcPr>
            <w:tcW w:type="dxa" w:w="6619"/>
          </w:tcPr>
          <w:p>
            <w:pPr>
              <w:jc w:val="center"/>
            </w:pPr>
            <w:r>
              <w:rPr>
                <w:sz w:val="18"/>
              </w:rPr>
              <w:t>Python</w:t>
            </w:r>
          </w:p>
        </w:tc>
        <w:tc>
          <w:tcPr>
            <w:tcW w:type="dxa" w:w="6619"/>
          </w:tcPr>
          <w:p>
            <w:pPr>
              <w:jc w:val="center"/>
            </w:pPr>
            <w:r>
              <w:rPr>
                <w:sz w:val="18"/>
              </w:rPr>
              <w:t>3.11.15</w:t>
            </w:r>
          </w:p>
        </w:tc>
      </w:tr>
      <w:tr>
        <w:tc>
          <w:tcPr>
            <w:tcW w:type="dxa" w:w="6619"/>
          </w:tcPr>
          <w:p>
            <w:pPr>
              <w:jc w:val="center"/>
            </w:pPr>
            <w:r>
              <w:rPr>
                <w:sz w:val="18"/>
              </w:rPr>
              <w:t>操作系统</w:t>
            </w:r>
          </w:p>
        </w:tc>
        <w:tc>
          <w:tcPr>
            <w:tcW w:type="dxa" w:w="6619"/>
          </w:tcPr>
          <w:p>
            <w:pPr>
              <w:jc w:val="center"/>
            </w:pPr>
            <w:r>
              <w:rPr>
                <w:sz w:val="18"/>
              </w:rPr>
              <w:t>Windows 11 Pro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999999"/>
          <w:sz w:val="16"/>
        </w:rPr>
        <w:t>报告生成时间：2026-05-13 03:44:59    |    Smart Parking Detection System</w:t>
      </w:r>
    </w:p>
    <w:sectPr w:rsidR="00FC693F" w:rsidRPr="0006063C" w:rsidSect="00034616">
      <w:pgSz w:w="16838" w:h="11906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