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DDC3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Cooling System Data Analysis: Interpretation of Association Rules and Classification Prediction</w:t>
      </w:r>
    </w:p>
    <w:p w14:paraId="59734FF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7FCC56F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Core Conclusion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: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Although the Apriori association rule model cannot directly perform classification prediction, it provides high-value business insights. The decision tree model is completely unusable due to extremely poor performance. High-value rules are concentrated in two scenarios: temperature stability and load-energy consumption correlation, which can directly guide system optimization.</w:t>
      </w:r>
    </w:p>
    <w:p w14:paraId="3B341EB5">
      <w:p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1FB7D22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I. Model Effectiveness Evaluation</w:t>
      </w:r>
    </w:p>
    <w:p w14:paraId="41270A61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Apriori Association Rule Model (Effective)</w:t>
      </w:r>
    </w:p>
    <w:p w14:paraId="62FFE2A4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Excellent Rule Quality: All core rules have a confidence level ≥ 93%, a lift value ≥ 2.7, and a support rate of 25%-34%.</w:t>
      </w:r>
    </w:p>
    <w:p w14:paraId="05220919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Clear Business Insights: Clearly reveals the strong correlations between temperature, load, power consumption, and equipment usage rate.</w:t>
      </w:r>
    </w:p>
    <w:p w14:paraId="5032F616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Limitations: No strong rules directly related to cooling strategies have been found, so it cannot be directly used for strategy classification prediction.</w:t>
      </w:r>
    </w:p>
    <w:p w14:paraId="06DFBD3A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Decision Tree Classification Model (Completely Unusable)</w:t>
      </w:r>
    </w:p>
    <w:p w14:paraId="355F6EAC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Extremely Poor Performance: The accuracy rate is only 21%-25%, the F1 value is 0.208-0.242, and the Kappa value is 0.016-0.053, which is close to random guessing.</w:t>
      </w:r>
    </w:p>
    <w:p w14:paraId="0DAD6FDE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Severe Overfitting: The complex structure with 127 nodes and 85 leaf nodes makes the model overly refined but unable to adapt to new data.</w:t>
      </w:r>
    </w:p>
    <w:p w14:paraId="3026F294">
      <w:pPr>
        <w:ind w:firstLine="420" w:firstLineChars="20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Category Recognition Failure: The recognition rate for key strategies such as "Increase Chiller" is extremely low (minimum F1=0.129).</w:t>
      </w:r>
    </w:p>
    <w:p w14:paraId="3B8E7FBB">
      <w:pPr>
        <w:jc w:val="center"/>
      </w:pPr>
      <w:r>
        <w:drawing>
          <wp:inline distT="0" distB="0" distL="114300" distR="114300">
            <wp:extent cx="3837305" cy="264985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88F9">
      <w:pPr>
        <w:jc w:val="center"/>
      </w:pPr>
    </w:p>
    <w:p w14:paraId="2CA8AD8B">
      <w:pPr>
        <w:jc w:val="both"/>
        <w:rPr/>
      </w:pPr>
      <w:r>
        <w:rPr>
          <w:rFonts w:hint="default"/>
        </w:rPr>
        <w:t>II. Screening of High-Value Rules (Ranked by Business Priority)</w:t>
      </w:r>
    </w:p>
    <w:p w14:paraId="2895624E">
      <w:pPr>
        <w:jc w:val="both"/>
        <w:rPr>
          <w:rFonts w:hint="default"/>
        </w:rPr>
      </w:pPr>
      <w:r>
        <w:rPr>
          <w:rFonts w:hint="default"/>
        </w:rPr>
        <w:t>1. Core Temperature Control Rules (Highest Priority)</w:t>
      </w:r>
    </w:p>
    <w:p w14:paraId="7EFAF8D2">
      <w:pPr>
        <w:ind w:firstLine="420" w:firstLineChars="200"/>
        <w:jc w:val="both"/>
        <w:rPr/>
      </w:pPr>
      <w:r>
        <w:rPr>
          <w:rFonts w:hint="default"/>
        </w:rPr>
        <w:t>Rule 1: Ambient Temperature (22.73-25.24°C) → Temperature Deviation (-∞-1.26°C), Confidence: 99%, Lift Value: 2.97.</w:t>
      </w:r>
    </w:p>
    <w:p w14:paraId="6220004B">
      <w:pPr>
        <w:ind w:firstLine="420" w:firstLineChars="200"/>
        <w:jc w:val="both"/>
        <w:rPr/>
      </w:pPr>
      <w:r>
        <w:rPr>
          <w:rFonts w:hint="default"/>
        </w:rPr>
        <w:t>Rule 2: Temperature Deviation (-∞-1.26°C) → Ambient Temperature (22.73-25.24°C), Confidence: 99%, Lift Value: 2.97.</w:t>
      </w:r>
    </w:p>
    <w:p w14:paraId="28943F49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Business Significance: Identifies the optimal temperature range for the stable operation of the system.</w:t>
      </w:r>
    </w:p>
    <w:p w14:paraId="531BBF4D">
      <w:pPr>
        <w:ind w:firstLine="420" w:firstLineChars="200"/>
        <w:jc w:val="center"/>
        <w:rPr>
          <w:rFonts w:hint="default"/>
        </w:rPr>
      </w:pPr>
      <w:r>
        <w:drawing>
          <wp:inline distT="0" distB="0" distL="114300" distR="114300">
            <wp:extent cx="3743960" cy="245046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0591">
      <w:pPr>
        <w:jc w:val="both"/>
        <w:rPr>
          <w:rFonts w:hint="default"/>
        </w:rPr>
      </w:pPr>
      <w:r>
        <w:rPr>
          <w:rFonts w:hint="default"/>
        </w:rPr>
        <w:t>2. High-Load Operation Association Rules (High Priority)</w:t>
      </w:r>
    </w:p>
    <w:p w14:paraId="64A47A2C">
      <w:pPr>
        <w:ind w:firstLine="420" w:firstLineChars="200"/>
        <w:jc w:val="both"/>
        <w:rPr/>
      </w:pPr>
      <w:r>
        <w:rPr>
          <w:rFonts w:hint="default"/>
        </w:rPr>
        <w:t>Rule 3: High Inlet Temperature (&gt;22.5°C) + High Cooling Power (&gt;0.835kW) → High Chiller Usage Rate (&gt;74.86%), Confidence: 98%.</w:t>
      </w:r>
    </w:p>
    <w:p w14:paraId="2755A316">
      <w:pPr>
        <w:ind w:firstLine="420" w:firstLineChars="200"/>
        <w:jc w:val="both"/>
        <w:rPr/>
      </w:pPr>
      <w:r>
        <w:rPr>
          <w:rFonts w:hint="default"/>
        </w:rPr>
        <w:t>Rule 5: High Server Load (&gt;74.47%) + High Chiller Usage Rate (&gt;74.86%) → High Cooling Power (&gt;0.835kW), Confidence: 96%.</w:t>
      </w:r>
    </w:p>
    <w:p w14:paraId="1F3CCB72">
      <w:pPr>
        <w:ind w:firstLine="420" w:firstLineChars="200"/>
        <w:jc w:val="both"/>
        <w:rPr/>
      </w:pPr>
      <w:r>
        <w:rPr>
          <w:rFonts w:hint="default"/>
        </w:rPr>
        <w:t>Rule 7: High Server Load (&gt;74.47%) + High Cooling Power (&gt;0.835kW) → High Chiller Usage Rate (&gt;74.86%), Confidence: 95%.</w:t>
      </w:r>
    </w:p>
    <w:p w14:paraId="32A28865">
      <w:pPr>
        <w:ind w:firstLine="420" w:firstLineChars="200"/>
        <w:jc w:val="both"/>
        <w:rPr/>
      </w:pPr>
      <w:r>
        <w:rPr>
          <w:rFonts w:hint="default"/>
        </w:rPr>
        <w:t>Rule 10: High Chiller Usage Rate (&gt;74.86%) → High Cooling Power (&gt;0.835kW), Confidence: 93%.</w:t>
      </w:r>
    </w:p>
    <w:p w14:paraId="6739AA26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Business Significance: Reveals the strong collaborative relationship between "temperature-power consumption-chiller" under high load.</w:t>
      </w:r>
    </w:p>
    <w:p w14:paraId="39B75D7B">
      <w:pPr>
        <w:ind w:firstLine="420" w:firstLineChars="20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2494915" cy="1938020"/>
            <wp:effectExtent l="0" t="0" r="44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740" cy="1925955"/>
            <wp:effectExtent l="0" t="0" r="762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DF91">
      <w:pPr>
        <w:jc w:val="both"/>
        <w:rPr>
          <w:rFonts w:hint="default"/>
        </w:rPr>
      </w:pPr>
      <w:r>
        <w:rPr>
          <w:rFonts w:hint="default"/>
        </w:rPr>
        <w:t>3. Low-Load Energy-Saving Association Rules (High Priority)</w:t>
      </w:r>
    </w:p>
    <w:p w14:paraId="2FDCF2DB">
      <w:pPr>
        <w:ind w:firstLine="420" w:firstLineChars="200"/>
        <w:jc w:val="both"/>
        <w:rPr/>
      </w:pPr>
      <w:r>
        <w:rPr>
          <w:rFonts w:hint="default"/>
        </w:rPr>
        <w:t>Rule 4: Low Server Load (&lt;56.37%) + Low Cooling Power (&lt;0.685kW) → Low Chiller Usage Rate (&lt;56.32%), Confidence: 97%.</w:t>
      </w:r>
    </w:p>
    <w:p w14:paraId="4DC39489">
      <w:pPr>
        <w:ind w:firstLine="420" w:firstLineChars="200"/>
        <w:jc w:val="both"/>
        <w:rPr/>
      </w:pPr>
      <w:r>
        <w:rPr>
          <w:rFonts w:hint="default"/>
        </w:rPr>
        <w:t>Rule 8: Low Cooling Power (&lt;0.685kW) → Low Chiller Usage Rate (&lt;56.32%), Confidence: 94%.</w:t>
      </w:r>
    </w:p>
    <w:p w14:paraId="6FFD3F70">
      <w:pPr>
        <w:ind w:firstLine="420" w:firstLineChars="200"/>
        <w:jc w:val="both"/>
        <w:rPr/>
      </w:pPr>
      <w:r>
        <w:rPr>
          <w:rFonts w:hint="default"/>
        </w:rPr>
        <w:t>Rule 9: Low Server Load (&lt;56.37%) + Low Chiller Usage Rate (&lt;56.32%) → Low Cooling Power (&lt;0.685kW), Confidence: 94%.</w:t>
      </w:r>
    </w:p>
    <w:p w14:paraId="1663C290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Business Significance: Clarifies the trigger conditions for the energy-saving mode.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2060"/>
        <w:gridCol w:w="1726"/>
        <w:gridCol w:w="1292"/>
        <w:gridCol w:w="749"/>
        <w:gridCol w:w="2146"/>
      </w:tblGrid>
      <w:tr w14:paraId="58CD4C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268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Rule ID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3EF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Association Conditions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31D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Consequence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30D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Confidence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AEC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Lift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FE1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Business Value</w:t>
            </w:r>
          </w:p>
        </w:tc>
      </w:tr>
      <w:tr w14:paraId="60C35C4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7B9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805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Ambient Temperature (22.73-25.24°C)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A4E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Temperature Deviation (-∞-1.255°C)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985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F9B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2.97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1CC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Identify the optimal temperature range</w:t>
            </w:r>
          </w:p>
        </w:tc>
      </w:tr>
      <w:tr w14:paraId="6142B0A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CB9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22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Temperature Deviation (-∞-1.255°C)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780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Ambient Temperature (22.73-25.24°C)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68D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4D9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E47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Verify the strong temperature-deviation correlation</w:t>
            </w:r>
          </w:p>
        </w:tc>
      </w:tr>
      <w:tr w14:paraId="15A1D7B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1D9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C0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Inlet Temperature &gt;22.5°C + Cooling Power &gt;0.835kW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ABB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Chiller Usage Rate &gt;74.86%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8D4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6BA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77B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Basis for high-load cooling strategy</w:t>
            </w:r>
          </w:p>
        </w:tc>
      </w:tr>
      <w:tr w14:paraId="7C8F3A4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933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9E2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Server Load &lt;56.37% + Cooling Power &lt;0.685kW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84A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Chiller Usage Rate &lt;56.32%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EBE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6BC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644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Basis for low-load energy-saving strategy</w:t>
            </w:r>
          </w:p>
        </w:tc>
      </w:tr>
      <w:tr w14:paraId="0D635D2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444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B5E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Chiller Usage Rate &gt;74.86%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7EB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Cooling Power &gt;0.835kW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052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0B2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141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Benchmark for equipment collaborative operation</w:t>
            </w:r>
          </w:p>
        </w:tc>
      </w:tr>
    </w:tbl>
    <w:p w14:paraId="0FCDA8F1">
      <w:pPr>
        <w:ind w:firstLine="420" w:firstLineChars="200"/>
        <w:jc w:val="both"/>
        <w:rPr>
          <w:rFonts w:hint="default"/>
        </w:rPr>
      </w:pPr>
    </w:p>
    <w:p w14:paraId="68AA3EDF">
      <w:pPr>
        <w:jc w:val="both"/>
        <w:rPr/>
      </w:pPr>
      <w:r>
        <w:rPr>
          <w:rFonts w:hint="default"/>
        </w:rPr>
        <w:t>III. Integration of Business Significance</w:t>
      </w:r>
    </w:p>
    <w:p w14:paraId="1506D4D7">
      <w:pPr>
        <w:jc w:val="both"/>
        <w:rPr>
          <w:rFonts w:hint="default"/>
        </w:rPr>
      </w:pPr>
      <w:r>
        <w:rPr>
          <w:rFonts w:hint="default"/>
        </w:rPr>
        <w:t>1. Operation Mode Optimization</w:t>
      </w:r>
    </w:p>
    <w:p w14:paraId="6F4BFE0B">
      <w:pPr>
        <w:ind w:firstLine="420" w:firstLineChars="200"/>
        <w:jc w:val="both"/>
        <w:rPr/>
      </w:pPr>
      <w:r>
        <w:rPr>
          <w:rFonts w:hint="default"/>
        </w:rPr>
        <w:t>High-Load Strategy: When the server load is close to 74.5% or the inlet temperature exceeds 22.5°C, proactively improve the chiller operation efficiency to avoid overheating.</w:t>
      </w:r>
    </w:p>
    <w:p w14:paraId="1BAEF83B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Energy-Saving Strategy: When the load is below 56.4%, the chiller input can be reduced to balance energy consumption and cooling effect.</w:t>
      </w:r>
    </w:p>
    <w:p w14:paraId="7E016B0C">
      <w:pPr>
        <w:ind w:firstLine="420" w:firstLineChars="200"/>
        <w:jc w:val="center"/>
        <w:rPr>
          <w:rFonts w:hint="default"/>
        </w:rPr>
      </w:pPr>
      <w:r>
        <w:drawing>
          <wp:inline distT="0" distB="0" distL="114300" distR="114300">
            <wp:extent cx="3224530" cy="2357120"/>
            <wp:effectExtent l="0" t="0" r="635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BE70">
      <w:pPr>
        <w:jc w:val="both"/>
        <w:rPr>
          <w:rFonts w:hint="default"/>
        </w:rPr>
      </w:pPr>
      <w:r>
        <w:rPr>
          <w:rFonts w:hint="default"/>
        </w:rPr>
        <w:t>2. Temperature Management Benchmark</w:t>
      </w:r>
    </w:p>
    <w:p w14:paraId="06FD8DEB"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Optimal Temperature Range: 22.73-25.24°C can maximize system stability, and this range is recommended as the target temperature for daily operation.</w:t>
      </w:r>
    </w:p>
    <w:p w14:paraId="6B9CFE27">
      <w:pPr>
        <w:ind w:firstLine="420" w:firstLineChars="200"/>
        <w:jc w:val="center"/>
        <w:rPr>
          <w:rFonts w:hint="default"/>
        </w:rPr>
      </w:pPr>
      <w:r>
        <w:drawing>
          <wp:inline distT="0" distB="0" distL="114300" distR="114300">
            <wp:extent cx="3060065" cy="223075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3CFB">
      <w:pPr>
        <w:ind w:firstLine="420" w:firstLineChars="200"/>
        <w:jc w:val="both"/>
        <w:rPr/>
      </w:pPr>
      <w:r>
        <w:rPr>
          <w:rFonts w:hint="default"/>
        </w:rPr>
        <w:t>Temperature Sensitivity: Changes in inlet temperature directly affect the selection of cooling strategies, so it is necessary to focus on monitoring inlet temperature fluctuations.</w:t>
      </w:r>
    </w:p>
    <w:p w14:paraId="022907EF">
      <w:pPr>
        <w:jc w:val="both"/>
        <w:rPr>
          <w:rFonts w:hint="default"/>
        </w:rPr>
      </w:pPr>
      <w:r>
        <w:rPr>
          <w:rFonts w:hint="default"/>
        </w:rPr>
        <w:t>3. Equipment Collaboration Insights</w:t>
      </w:r>
    </w:p>
    <w:p w14:paraId="453843E9">
      <w:pPr>
        <w:ind w:firstLine="420" w:firstLineChars="200"/>
        <w:jc w:val="both"/>
        <w:rPr>
          <w:rFonts w:hint="default"/>
        </w:rPr>
      </w:pPr>
      <w:bookmarkStart w:id="0" w:name="_GoBack"/>
      <w:bookmarkEnd w:id="0"/>
      <w:r>
        <w:rPr>
          <w:rFonts w:hint="default"/>
          <w:lang w:val="en-US" w:eastAsia="zh-CN"/>
        </w:rPr>
        <w:t>The chiller has a strong positive correlation with power consumption and is the core equipment of the cooling system. Its operating status directly reflects the system load level.</w:t>
      </w:r>
    </w:p>
    <w:p w14:paraId="0E060E03">
      <w:pPr>
        <w:jc w:val="both"/>
      </w:pPr>
    </w:p>
    <w:p w14:paraId="00CF2648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2025-11-12T02:34:53Z</dcterms:created>
  <dc:creator>小埋</dc:creator>
  <cp:lastModifiedBy>理想</cp:lastModifiedBy>
  <dcterms:modified xsi:type="dcterms:W3CDTF">2025-11-12T02:49:53Z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eyJoZGlkIjoiYzg5NDE3MmQwYjQ2ZWQ4Mzg5NjhhOTkzNmU3MzVmNTEiLCJ1c2VySWQiOiIxNzI4NTU3NDY0In0=</vt:lpwstr>
  </property>
  <property fmtid="{D5CDD505-2E9C-101B-9397-08002B2CF9AE}" pid="4" name="ICV">
    <vt:lpwstr>88DC32F7A5DE49CCAF5D236F583838F4_12</vt:lpwstr>
  </property>
</Properties>
</file>