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3A5C"/>
          <w:sz w:val="56"/>
        </w:rPr>
        <w:t>Agentic RAG 多策略检索系统</w:t>
        <w:br/>
        <w:t>实验报告</w:t>
      </w:r>
    </w:p>
    <w:p>
      <w:pPr>
        <w:jc w:val="center"/>
      </w:pPr>
      <w:r>
        <w:rPr>
          <w:color w:val="666666"/>
          <w:sz w:val="28"/>
        </w:rPr>
        <w:t>MS MARCO 10K · 6 Strategies · RAGAS Evaluation</w:t>
        <w:br/>
        <w:t>2026-05-22</w:t>
      </w:r>
    </w:p>
    <w:p>
      <w:r>
        <w:br w:type="page"/>
      </w:r>
    </w:p>
    <w:p>
      <w:pPr>
        <w:pStyle w:val="Heading1"/>
      </w:pPr>
      <w:r>
        <w:t>1. 项目概述</w:t>
      </w:r>
    </w:p>
    <w:p>
      <w:r>
        <w:t>本项目构建了一个完整的多策略 RAG（检索增强生成）检索评测系统。系统基于 MS MARCO 数据集，实现了 6 种不同的检索策略，并使用 RAGAS 框架配合 Claude Sonnet 4.6 进行自动化评估。所有嵌入模型（BGE-base-en-v1.5）和重排序模型（BGE-reranker-base）均在本地 GPU 上运行，向量数据库采用 Qdrant 进行持久化存储。</w:t>
      </w:r>
    </w:p>
    <w:p>
      <w:pPr>
        <w:pStyle w:val="Heading2"/>
      </w:pPr>
      <w:r>
        <w:t>核心指标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数据集</w:t>
            </w:r>
          </w:p>
        </w:tc>
        <w:tc>
          <w:tcPr>
            <w:tcW w:type="dxa" w:w="4320"/>
          </w:tcPr>
          <w:p>
            <w:r>
              <w:t>MS MARCO v2.1</w:t>
            </w:r>
          </w:p>
        </w:tc>
      </w:tr>
      <w:tr>
        <w:tc>
          <w:tcPr>
            <w:tcW w:type="dxa" w:w="4320"/>
          </w:tcPr>
          <w:p>
            <w:r>
              <w:t>文档数</w:t>
            </w:r>
          </w:p>
        </w:tc>
        <w:tc>
          <w:tcPr>
            <w:tcW w:type="dxa" w:w="4320"/>
          </w:tcPr>
          <w:p>
            <w:r>
              <w:t>10,000 篇</w:t>
            </w:r>
          </w:p>
        </w:tc>
      </w:tr>
      <w:tr>
        <w:tc>
          <w:tcPr>
            <w:tcW w:type="dxa" w:w="4320"/>
          </w:tcPr>
          <w:p>
            <w:r>
              <w:t>评估查询</w:t>
            </w:r>
          </w:p>
        </w:tc>
        <w:tc>
          <w:tcPr>
            <w:tcW w:type="dxa" w:w="4320"/>
          </w:tcPr>
          <w:p>
            <w:r>
              <w:t>100 条</w:t>
            </w:r>
          </w:p>
        </w:tc>
      </w:tr>
      <w:tr>
        <w:tc>
          <w:tcPr>
            <w:tcW w:type="dxa" w:w="4320"/>
          </w:tcPr>
          <w:p>
            <w:r>
              <w:t>检索策略</w:t>
            </w:r>
          </w:p>
        </w:tc>
        <w:tc>
          <w:tcPr>
            <w:tcW w:type="dxa" w:w="4320"/>
          </w:tcPr>
          <w:p>
            <w:r>
              <w:t>6 种</w:t>
            </w:r>
          </w:p>
        </w:tc>
      </w:tr>
      <w:tr>
        <w:tc>
          <w:tcPr>
            <w:tcW w:type="dxa" w:w="4320"/>
          </w:tcPr>
          <w:p>
            <w:r>
              <w:t>GPU</w:t>
            </w:r>
          </w:p>
        </w:tc>
        <w:tc>
          <w:tcPr>
            <w:tcW w:type="dxa" w:w="4320"/>
          </w:tcPr>
          <w:p>
            <w:r>
              <w:t>NVIDIA GeForce RTX 5060 Ti 8GB</w:t>
            </w:r>
          </w:p>
        </w:tc>
      </w:tr>
    </w:tbl>
    <w:p>
      <w:r>
        <w:br w:type="page"/>
      </w:r>
    </w:p>
    <w:p>
      <w:pPr>
        <w:pStyle w:val="Heading1"/>
      </w:pPr>
      <w:r>
        <w:t>2. 项目流程</w:t>
      </w:r>
    </w:p>
    <w:p>
      <w:pPr>
        <w:pStyle w:val="Heading2"/>
      </w:pPr>
      <w:r>
        <w:t>Step 1: 数据下载</w:t>
      </w:r>
    </w:p>
    <w:p>
      <w:r>
        <w:t>从 MS MARCO v2.1 数据集下载 10,007 篇文档和 200 条 QA 对，通过文本去重确保文档唯一性，不足 10K 时从 v1.1 补充。提取每篇文档的 passage_text 并建立唯一 ID 映射。</w:t>
      </w:r>
    </w:p>
    <w:p>
      <w:pPr>
        <w:pStyle w:val="Heading2"/>
      </w:pPr>
      <w:r>
        <w:t>Step 2: 向量化</w:t>
      </w:r>
    </w:p>
    <w:p>
      <w:r>
        <w:t>使用 BAAI/bge-base-en-v1.5 模型在本地 GPU 上对 10,007 篇文档生成 768 维稠密向量。每 500 条保存一次 .npy 检查点，支持断点续跑。同时基于 token 分词构建 BM25 稀疏索引。</w:t>
      </w:r>
    </w:p>
    <w:p>
      <w:pPr>
        <w:pStyle w:val="Heading2"/>
      </w:pPr>
      <w:r>
        <w:t>Step 3: 向量入库</w:t>
      </w:r>
    </w:p>
    <w:p>
      <w:r>
        <w:t>将 10,007 条稠密向量导入 Qdrant 向量数据库，使用 Cosine 距离度量。Qdrant 通过 Docker Compose 启动，数据持久化到本地 qdrant_storage/ 目录。</w:t>
      </w:r>
    </w:p>
    <w:p>
      <w:pPr>
        <w:pStyle w:val="Heading2"/>
      </w:pPr>
      <w:r>
        <w:t>Step 4: 检索策略实验</w:t>
      </w:r>
    </w:p>
    <w:p>
      <w:r>
        <w:t>对 100 条查询逐一执行 6 种检索策略：BM25 关键词匹配、Dense 向量检索、Hybrid RRF 融合、HyDE 假设文档扩展、BGE Reranker 精排、以及 ReAct Agent 反思检索。每种策略返回 Top-10 相关文档。</w:t>
      </w:r>
    </w:p>
    <w:p>
      <w:pPr>
        <w:pStyle w:val="Heading2"/>
      </w:pPr>
      <w:r>
        <w:t>Step 5: RAGAS 评估</w:t>
      </w:r>
    </w:p>
    <w:p>
      <w:r>
        <w:t>使用 RAGAS 框架的 Context Precision 和 Context Recall 指标进行评估。LLM 裁判采用 Claude Sonnet 4.6（通过 ChatAnthropic 接口），逐条打分并追加写入 .jsonl 文件。支持断点续评，已完成查询自动跳过。</w:t>
      </w:r>
    </w:p>
    <w:p>
      <w:pPr>
        <w:pStyle w:val="Heading2"/>
      </w:pPr>
      <w:r>
        <w:t>Step 6: 结果分析</w:t>
      </w:r>
    </w:p>
    <w:p>
      <w:r>
        <w:t>汇总 6 策略 × 100 查询的评估结果，计算平均精度和召回率。生成对比 CSV 表格、雷达图、柱状图，以及 Word 实验报告。</w:t>
      </w:r>
    </w:p>
    <w:p>
      <w:r>
        <w:br w:type="page"/>
      </w:r>
    </w:p>
    <w:p>
      <w:pPr>
        <w:pStyle w:val="Heading1"/>
      </w:pPr>
      <w:r>
        <w:t>3. 系统架构</w:t>
      </w:r>
    </w:p>
    <w:p>
      <w:pPr>
        <w:pStyle w:val="Heading2"/>
      </w:pPr>
      <w:r>
        <w:t>3.1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Dense Embedding</w:t>
            </w:r>
          </w:p>
        </w:tc>
        <w:tc>
          <w:tcPr>
            <w:tcW w:type="dxa" w:w="2880"/>
          </w:tcPr>
          <w:p>
            <w:r>
              <w:t>BAAI/bge-base-en-v1.5</w:t>
            </w:r>
          </w:p>
        </w:tc>
        <w:tc>
          <w:tcPr>
            <w:tcW w:type="dxa" w:w="2880"/>
          </w:tcPr>
          <w:p>
            <w:r>
              <w:t>本地 GPU (RTX 5060 Ti)</w:t>
            </w:r>
          </w:p>
        </w:tc>
      </w:tr>
      <w:tr>
        <w:tc>
          <w:tcPr>
            <w:tcW w:type="dxa" w:w="2880"/>
          </w:tcPr>
          <w:p>
            <w:r>
              <w:t>Reranker</w:t>
            </w:r>
          </w:p>
        </w:tc>
        <w:tc>
          <w:tcPr>
            <w:tcW w:type="dxa" w:w="2880"/>
          </w:tcPr>
          <w:p>
            <w:r>
              <w:t>BAAI/bge-reranker-base</w:t>
            </w:r>
          </w:p>
        </w:tc>
        <w:tc>
          <w:tcPr>
            <w:tcW w:type="dxa" w:w="2880"/>
          </w:tcPr>
          <w:p>
            <w:r>
              <w:t>本地 GPU</w:t>
            </w:r>
          </w:p>
        </w:tc>
      </w:tr>
      <w:tr>
        <w:tc>
          <w:tcPr>
            <w:tcW w:type="dxa" w:w="2880"/>
          </w:tcPr>
          <w:p>
            <w:r>
              <w:t>Sparse Retrieval</w:t>
            </w:r>
          </w:p>
        </w:tc>
        <w:tc>
          <w:tcPr>
            <w:tcW w:type="dxa" w:w="2880"/>
          </w:tcPr>
          <w:p>
            <w:r>
              <w:t>BM25 (rank-bm25)</w:t>
            </w:r>
          </w:p>
        </w:tc>
        <w:tc>
          <w:tcPr>
            <w:tcW w:type="dxa" w:w="2880"/>
          </w:tcPr>
          <w:p>
            <w:r>
              <w:t>本地 CPU</w:t>
            </w:r>
          </w:p>
        </w:tc>
      </w:tr>
      <w:tr>
        <w:tc>
          <w:tcPr>
            <w:tcW w:type="dxa" w:w="2880"/>
          </w:tcPr>
          <w:p>
            <w:r>
              <w:t>Vector Database</w:t>
            </w:r>
          </w:p>
        </w:tc>
        <w:tc>
          <w:tcPr>
            <w:tcW w:type="dxa" w:w="2880"/>
          </w:tcPr>
          <w:p>
            <w:r>
              <w:t>Qdrant v1.16.2</w:t>
            </w:r>
          </w:p>
        </w:tc>
        <w:tc>
          <w:tcPr>
            <w:tcW w:type="dxa" w:w="2880"/>
          </w:tcPr>
          <w:p>
            <w:r>
              <w:t>Docker</w:t>
            </w:r>
          </w:p>
        </w:tc>
      </w:tr>
      <w:tr>
        <w:tc>
          <w:tcPr>
            <w:tcW w:type="dxa" w:w="2880"/>
          </w:tcPr>
          <w:p>
            <w:r>
              <w:t>LLM Judge</w:t>
            </w:r>
          </w:p>
        </w:tc>
        <w:tc>
          <w:tcPr>
            <w:tcW w:type="dxa" w:w="2880"/>
          </w:tcPr>
          <w:p>
            <w:r>
              <w:t>Claude Sonnet 4.6</w:t>
            </w:r>
          </w:p>
        </w:tc>
        <w:tc>
          <w:tcPr>
            <w:tcW w:type="dxa" w:w="2880"/>
          </w:tcPr>
          <w:p>
            <w:r>
              <w:t>API (aipaibox.com)</w:t>
            </w:r>
          </w:p>
        </w:tc>
      </w:tr>
      <w:tr>
        <w:tc>
          <w:tcPr>
            <w:tcW w:type="dxa" w:w="2880"/>
          </w:tcPr>
          <w:p>
            <w:r>
              <w:t>Evaluation</w:t>
            </w:r>
          </w:p>
        </w:tc>
        <w:tc>
          <w:tcPr>
            <w:tcW w:type="dxa" w:w="2880"/>
          </w:tcPr>
          <w:p>
            <w:r>
              <w:t>RAGAS 0.4.x</w:t>
            </w:r>
          </w:p>
        </w:tc>
        <w:tc>
          <w:tcPr>
            <w:tcW w:type="dxa" w:w="2880"/>
          </w:tcPr>
          <w:p>
            <w:r>
              <w:t>本地 + API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FastAPI 0.136</w:t>
            </w:r>
          </w:p>
        </w:tc>
        <w:tc>
          <w:tcPr>
            <w:tcW w:type="dxa" w:w="2880"/>
          </w:tcPr>
          <w:p>
            <w:r>
              <w:t>Docker / 本地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Streamlit 1.57</w:t>
            </w:r>
          </w:p>
        </w:tc>
        <w:tc>
          <w:tcPr>
            <w:tcW w:type="dxa" w:w="2880"/>
          </w:tcPr>
          <w:p>
            <w:r>
              <w:t>Docker / 本地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t>3.2 检索策略设计</w:t>
      </w:r>
    </w:p>
    <w:p>
      <w:pPr>
        <w:pStyle w:val="Heading3"/>
      </w:pPr>
      <w:r>
        <w:t>BM25 (策略 1)</w:t>
      </w:r>
    </w:p>
    <w:p>
      <w:r>
        <w:t>基于 TF-IDF 的稀疏关键词匹配。使用 BGE tokenizer 分词后构建 BM25Okapi 索引，通过 get_top_n() 返回得分最高的 k 篇文档。优点：零 API 调用，速度快。缺点：无语义理解。</w:t>
      </w:r>
    </w:p>
    <w:p>
      <w:pPr>
        <w:pStyle w:val="Heading3"/>
      </w:pPr>
      <w:r>
        <w:t>Dense (策略 2)</w:t>
      </w:r>
    </w:p>
    <w:p>
      <w:r>
        <w:t>使用 BGE-base-en-v1.5 将查询编码为 768 维向量，在 Qdrant 中通过 Cosine 相似度检索。优点：语义匹配，能理解同义词。缺点：对专用术语精度不如 BM25。</w:t>
      </w:r>
    </w:p>
    <w:p>
      <w:pPr>
        <w:pStyle w:val="Heading3"/>
      </w:pPr>
      <w:r>
        <w:t>Hybrid RRF (策略 3)</w:t>
      </w:r>
    </w:p>
    <w:p>
      <w:r>
        <w:t>Reciprocal Rank Fusion 融合 BM25 和 Dense 的结果。每个文档的最终得分 = Σ 1/(k + rank + 1)，k=60。优点：结合两者优势。缺点：噪声可能互相干扰。</w:t>
      </w:r>
    </w:p>
    <w:p>
      <w:pPr>
        <w:pStyle w:val="Heading3"/>
      </w:pPr>
      <w:r>
        <w:t>Hybrid + HyDE (策略 4)</w:t>
      </w:r>
    </w:p>
    <w:p>
      <w:r>
        <w:t>在 RRF 融合前，先用 Claude Sonnet 生成假设文档（Hypothetical Document），用假设文档替代原始查询进行 Dense 检索，然后与 BM25 结果融合。优点：缓解查询-文档词汇不匹配。缺点：额外 API 调用。</w:t>
      </w:r>
    </w:p>
    <w:p>
      <w:pPr>
        <w:pStyle w:val="Heading3"/>
      </w:pPr>
      <w:r>
        <w:t>Hybrid + HyDE + Rerank (策略 5)</w:t>
      </w:r>
    </w:p>
    <w:p>
      <w:r>
        <w:t>在策略 4 的基础上增加 BGE-reranker-base 交叉编码器精排。将候选文档与查询组成 [query, doc] 对输入 reranker 打分，取 Top-k。优点：重排序大幅提升精度。缺点：计算量较大。</w:t>
      </w:r>
    </w:p>
    <w:p>
      <w:pPr>
        <w:pStyle w:val="Heading3"/>
      </w:pPr>
      <w:r>
        <w:t>Agentic ReAct (策略 6)</w:t>
      </w:r>
    </w:p>
    <w:p>
      <w:r>
        <w:t>基于 ReAct 框架的智能代理。Agent 可调用 search_bm25() 和 search_dense() 工具，每轮进行 Thought → Action → Observation 循环，最多 3 轮。每轮结束后由反思模块评估检索质量。优点：自适应选择策略。缺点：多次 LLM 调用，成本高，当前准确率欠佳。</w:t>
      </w:r>
    </w:p>
    <w:p>
      <w:r>
        <w:br w:type="page"/>
      </w:r>
    </w:p>
    <w:p>
      <w:pPr>
        <w:pStyle w:val="Heading1"/>
      </w:pPr>
      <w:r>
        <w:t>4. 实验结果</w:t>
      </w:r>
    </w:p>
    <w:p>
      <w:pPr>
        <w:pStyle w:val="Heading2"/>
      </w:pPr>
      <w:r>
        <w:t>4.1 综合对比 (MS MARCO 10K, 100 Queries)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策略</w:t>
            </w:r>
          </w:p>
        </w:tc>
        <w:tc>
          <w:tcPr>
            <w:tcW w:type="dxa" w:w="2880"/>
          </w:tcPr>
          <w:p>
            <w:r>
              <w:t>Context Precision</w:t>
            </w:r>
          </w:p>
        </w:tc>
        <w:tc>
          <w:tcPr>
            <w:tcW w:type="dxa" w:w="2880"/>
          </w:tcPr>
          <w:p>
            <w:r>
              <w:t>Context Recall</w:t>
            </w:r>
          </w:p>
        </w:tc>
      </w:tr>
      <w:tr>
        <w:tc>
          <w:tcPr>
            <w:tcW w:type="dxa" w:w="2880"/>
          </w:tcPr>
          <w:p>
            <w:r>
              <w:t>BM25</w:t>
            </w:r>
          </w:p>
        </w:tc>
        <w:tc>
          <w:tcPr>
            <w:tcW w:type="dxa" w:w="2880"/>
          </w:tcPr>
          <w:p>
            <w:r>
              <w:t>0.1887</w:t>
            </w:r>
          </w:p>
        </w:tc>
        <w:tc>
          <w:tcPr>
            <w:tcW w:type="dxa" w:w="2880"/>
          </w:tcPr>
          <w:p>
            <w:r>
              <w:t>0.4650</w:t>
            </w:r>
          </w:p>
        </w:tc>
      </w:tr>
      <w:tr>
        <w:tc>
          <w:tcPr>
            <w:tcW w:type="dxa" w:w="2880"/>
          </w:tcPr>
          <w:p>
            <w:r>
              <w:t>Dense (BGE)</w:t>
            </w:r>
          </w:p>
        </w:tc>
        <w:tc>
          <w:tcPr>
            <w:tcW w:type="dxa" w:w="2880"/>
          </w:tcPr>
          <w:p>
            <w:r>
              <w:t>0.3007</w:t>
            </w:r>
          </w:p>
        </w:tc>
        <w:tc>
          <w:tcPr>
            <w:tcW w:type="dxa" w:w="2880"/>
          </w:tcPr>
          <w:p>
            <w:r>
              <w:t>0.4700</w:t>
            </w:r>
          </w:p>
        </w:tc>
      </w:tr>
      <w:tr>
        <w:tc>
          <w:tcPr>
            <w:tcW w:type="dxa" w:w="2880"/>
          </w:tcPr>
          <w:p>
            <w:r>
              <w:t>Hybrid RRF</w:t>
            </w:r>
          </w:p>
        </w:tc>
        <w:tc>
          <w:tcPr>
            <w:tcW w:type="dxa" w:w="2880"/>
          </w:tcPr>
          <w:p>
            <w:r>
              <w:t>0.2589</w:t>
            </w:r>
          </w:p>
        </w:tc>
        <w:tc>
          <w:tcPr>
            <w:tcW w:type="dxa" w:w="2880"/>
          </w:tcPr>
          <w:p>
            <w:r>
              <w:t>0.3462</w:t>
            </w:r>
          </w:p>
        </w:tc>
      </w:tr>
      <w:tr>
        <w:tc>
          <w:tcPr>
            <w:tcW w:type="dxa" w:w="2880"/>
          </w:tcPr>
          <w:p>
            <w:r>
              <w:t>Hybrid + HyDE</w:t>
            </w:r>
          </w:p>
        </w:tc>
        <w:tc>
          <w:tcPr>
            <w:tcW w:type="dxa" w:w="2880"/>
          </w:tcPr>
          <w:p>
            <w:r>
              <w:t>0.1596</w:t>
            </w:r>
          </w:p>
        </w:tc>
        <w:tc>
          <w:tcPr>
            <w:tcW w:type="dxa" w:w="2880"/>
          </w:tcPr>
          <w:p>
            <w:r>
              <w:t>0.3933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Hybrid + HyDE + Rerank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0.3785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0.5102</w:t>
            </w:r>
          </w:p>
        </w:tc>
      </w:tr>
      <w:tr>
        <w:tc>
          <w:tcPr>
            <w:tcW w:type="dxa" w:w="2880"/>
          </w:tcPr>
          <w:p>
            <w:r>
              <w:t>Agentic (ReAct)</w:t>
            </w:r>
          </w:p>
        </w:tc>
        <w:tc>
          <w:tcPr>
            <w:tcW w:type="dxa" w:w="2880"/>
          </w:tcPr>
          <w:p>
            <w:r>
              <w:t>0.0667</w:t>
            </w:r>
          </w:p>
        </w:tc>
        <w:tc>
          <w:tcPr>
            <w:tcW w:type="dxa" w:w="2880"/>
          </w:tcPr>
          <w:p>
            <w:r>
              <w:t>0.1429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2"/>
      </w:pPr>
      <w:r>
        <w:t>4.2 实验结论</w:t>
      </w:r>
    </w:p>
    <w:p>
      <w:pPr>
        <w:pStyle w:val="Heading3"/>
      </w:pPr>
      <w:r>
        <w:t>1. Hybrid + HyDE + Rerank 综合最优</w:t>
      </w:r>
    </w:p>
    <w:p>
      <w:r>
        <w:t>Precision 0.3785, Recall 0.5102，均为 6 种策略中最高。说明稠密检索 + 假设文档扩展 + 交叉编码器精排的三阶段 pipeline 在 MS MARCO 数据集上效果最佳。Reranker 的交叉注意力机制有效纠正了双塔模型在细粒度语义匹配上的不足。</w:t>
      </w:r>
    </w:p>
    <w:p>
      <w:pPr>
        <w:pStyle w:val="Heading3"/>
      </w:pPr>
      <w:r>
        <w:t>2. RRF 融合未必优于单策略</w:t>
      </w:r>
    </w:p>
    <w:p>
      <w:r>
        <w:t>Hybrid RRF (Recall 0.346) 的召回率低于纯 Dense (Recall 0.470)，说明当 BM25 结果质量较低时，RRF 融合反而引入噪声。需要调整融合权重或设置质量阈值。</w:t>
      </w:r>
    </w:p>
    <w:p>
      <w:pPr>
        <w:pStyle w:val="Heading3"/>
      </w:pPr>
      <w:r>
        <w:t>3. Agentic 检索仍需改进</w:t>
      </w:r>
    </w:p>
    <w:p>
      <w:r>
        <w:t>ReAct Agent 的 Precision 仅 0.067，Recall 仅 0.143，远低于其他策略。主要原因：工具定义过于简单（仅 search_bm25/search_dense），缺少 rerank 和结果合并工具；反思模块对检索质量的判断不够精准。未来需要增强 agent 的工具箱和 prompt 设计。</w:t>
      </w:r>
    </w:p>
    <w:p>
      <w:pPr>
        <w:pStyle w:val="Heading3"/>
      </w:pPr>
      <w:r>
        <w:t>4. BM25 的召回率仍有价值</w:t>
      </w:r>
    </w:p>
    <w:p>
      <w:r>
        <w:t>尽管无语义理解，BM25 的 Recall (0.465) 与 Dense (0.470) 基本持平，说明 MS MARCO 数据集中关键词匹配信号仍然有效，适合用于混合检索的互补组件。</w:t>
      </w:r>
    </w:p>
    <w:p>
      <w:pPr>
        <w:pStyle w:val="Heading3"/>
      </w:pPr>
      <w:r>
        <w:t>5. HyDE 单独使用效果欠佳</w:t>
      </w:r>
    </w:p>
    <w:p>
      <w:r>
        <w:t>Hybrid + HyDE (Precision 0.160) 精度低于纯 Dense (0.301)，但搭配 Reranker 后(0.379)提升显著。表明假设文档的价值需要 reranker 才能充分释放。</w:t>
      </w:r>
    </w:p>
    <w:p>
      <w:r>
        <w:br w:type="page"/>
      </w:r>
    </w:p>
    <w:p>
      <w:pPr>
        <w:pStyle w:val="Heading1"/>
      </w:pPr>
      <w:r>
        <w:t>5. 工程实现亮点</w:t>
      </w:r>
    </w:p>
    <w:p>
      <w:pPr>
        <w:pStyle w:val="ListBullet"/>
      </w:pPr>
      <w:r>
        <w:t>断点续跑: pipeline_state.json 记录每个阶段状态，embedding 每 500 条 npy 检查点，评估每 query 追加 jsonl</w:t>
      </w:r>
    </w:p>
    <w:p>
      <w:pPr>
        <w:pStyle w:val="ListBullet"/>
      </w:pPr>
      <w:r>
        <w:t>GPU 优化: batch_size=32 (embedding) / 16 (reranker)，用完 del model + torch.cuda.empty_cache()</w:t>
      </w:r>
    </w:p>
    <w:p>
      <w:pPr>
        <w:pStyle w:val="ListBullet"/>
      </w:pPr>
      <w:r>
        <w:t>Docker 一键部署: docker-compose.yml 包含 Qdrant + FastAPI + Streamlit 三服务</w:t>
      </w:r>
    </w:p>
    <w:p>
      <w:pPr>
        <w:pStyle w:val="ListBullet"/>
      </w:pPr>
      <w:r>
        <w:t>成本追踪: api_usage.json 记录每次 API 调用的估算 cost，支持预算上限自动中断</w:t>
      </w:r>
    </w:p>
    <w:p>
      <w:pPr>
        <w:pStyle w:val="ListBullet"/>
      </w:pPr>
      <w:r>
        <w:t>独立服务: FastAPI (8 个接口) + Streamlit (检索/结果/API 三页面)，前后端分离</w:t>
      </w:r>
    </w:p>
    <w:p>
      <w:pPr>
        <w:pStyle w:val="Heading1"/>
      </w:pPr>
      <w:r>
        <w:t>6. 未来展望</w:t>
      </w:r>
    </w:p>
    <w:p>
      <w:pPr>
        <w:pStyle w:val="ListBullet"/>
      </w:pPr>
      <w:r>
        <w:t>多模态 RAG: 扩展支持图片、表格等多模态文档的检索</w:t>
      </w:r>
    </w:p>
    <w:p>
      <w:pPr>
        <w:pStyle w:val="ListBullet"/>
      </w:pPr>
      <w:r>
        <w:t>Agent 增强: 为 ReAct Agent 添加 rerank、结果聚合等工具，改进反思 prompt</w:t>
      </w:r>
    </w:p>
    <w:p>
      <w:pPr>
        <w:pStyle w:val="ListBullet"/>
      </w:pPr>
      <w:r>
        <w:t>更大规模: 扩展到 MS MARCO 全量 8.8M passages，测试策略的可扩展性</w:t>
      </w:r>
    </w:p>
    <w:p>
      <w:pPr>
        <w:pStyle w:val="ListBullet"/>
      </w:pPr>
      <w:r>
        <w:t>在线学习: 基于用户反馈持续优化检索排序</w:t>
      </w:r>
    </w:p>
    <w:p>
      <w:pPr>
        <w:pStyle w:val="ListBullet"/>
      </w:pPr>
      <w:r>
        <w:t>多语言: 支持中文等多语言检索评测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3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