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B: Real-World Case Study</w:t>
      </w:r>
    </w:p>
    <w:p>
      <w:pPr>
        <w:spacing w:after="160"/>
      </w:pPr>
      <w:r>
        <w:t xml:space="preserve">Chosen Attack: Colonial Pipeline Ransomware Attack (May 2021)</w:t>
      </w:r>
    </w:p>
    <w:p>
      <w:pPr>
        <w:pStyle w:val="Heading2"/>
      </w:pPr>
      <w:r>
        <w:t xml:space="preserve">What Happened?</w:t>
      </w:r>
    </w:p>
    <w:p>
      <w:pPr>
        <w:spacing w:after="160"/>
      </w:pPr>
      <w:r>
        <w:t xml:space="preserve">Colonial Pipeline is the largest refined fuel pipeline operator in the United States, supplying roughly 45% of the fuel used on the East Coast. On May 7, 2021, the company discovered it had been hit by a ransomware attack carried out by a criminal group known as DarkSide.</w:t>
      </w:r>
    </w:p>
    <w:p>
      <w:pPr>
        <w:spacing w:after="160"/>
      </w:pPr>
      <w:r>
        <w:t xml:space="preserve">The attackers gained initial access through a single compromised password belonging to an old, inactive VPN account that did not have multi-factor authentication (MFA) enabled. Using this access, they infiltrated Colonial Pipeline's IT network, stole around 100 gigabytes of data, and then deployed ransomware that encrypted critical business systems, including billing and accounting infrastructure.</w:t>
      </w:r>
    </w:p>
    <w:p>
      <w:pPr>
        <w:spacing w:after="160"/>
      </w:pPr>
      <w:r>
        <w:t xml:space="preserve">As a precaution, Colonial Pipeline proactively shut down the entire pipeline to stop the ransomware from spreading into the operational technology (OT) systems that physically control the pipeline. The shutdown lasted from May 7 to May 12, 2021. The company ultimately paid a ransom of about 75 bitcoin (approximately $4.4 million at the time) to obtain a decryption tool, although a portion of this payment was later recovered by U.S. law enforcement.</w:t>
      </w:r>
    </w:p>
    <w:p>
      <w:pPr>
        <w:pStyle w:val="Heading2"/>
      </w:pPr>
      <w:r>
        <w:t xml:space="preserve">Which Part of the CIA Triad Was Affected?</w:t>
      </w:r>
    </w:p>
    <w:p>
      <w:pPr>
        <w:pStyle w:val="ListParagraph"/>
        <w:numPr>
          <w:ilvl w:val="0"/>
          <w:numId w:val="2"/>
        </w:numPr>
        <w:spacing w:after="80"/>
      </w:pPr>
      <w:r>
        <w:t xml:space="preserve">Availability — primarily and most visibly affected. The pipeline was shut down for nearly a week, meaning fuel delivery systems were completely unavailable to the business and, indirectly, to the public.</w:t>
      </w:r>
    </w:p>
    <w:p>
      <w:pPr>
        <w:pStyle w:val="ListParagraph"/>
        <w:numPr>
          <w:ilvl w:val="0"/>
          <w:numId w:val="2"/>
        </w:numPr>
        <w:spacing w:after="80"/>
      </w:pPr>
      <w:r>
        <w:t xml:space="preserve">Confidentiality — also affected, since attackers stole roughly 100 GB of internal company data before deploying the ransomware.</w:t>
      </w:r>
    </w:p>
    <w:p>
      <w:pPr>
        <w:pStyle w:val="ListParagraph"/>
        <w:numPr>
          <w:ilvl w:val="0"/>
          <w:numId w:val="2"/>
        </w:numPr>
        <w:spacing w:after="80"/>
      </w:pPr>
      <w:r>
        <w:t xml:space="preserve">Integrity — less directly affected in this case, since the primary attack method was encryption (denying access) rather than altering data, though the broader incident still raised integrity concerns about the trustworthiness of affected systems during recovery.</w:t>
      </w:r>
    </w:p>
    <w:p>
      <w:pPr>
        <w:pStyle w:val="Heading2"/>
      </w:pPr>
      <w:r>
        <w:t xml:space="preserve">What Was the Impact?</w:t>
      </w:r>
    </w:p>
    <w:p>
      <w:pPr>
        <w:pStyle w:val="ListParagraph"/>
        <w:numPr>
          <w:ilvl w:val="0"/>
          <w:numId w:val="2"/>
        </w:numPr>
        <w:spacing w:after="80"/>
      </w:pPr>
      <w:r>
        <w:t xml:space="preserve">Fuel shortages and panic buying across the southeastern and eastern United States, with some gas stations completely running out of fuel.</w:t>
      </w:r>
    </w:p>
    <w:p>
      <w:pPr>
        <w:pStyle w:val="ListParagraph"/>
        <w:numPr>
          <w:ilvl w:val="0"/>
          <w:numId w:val="2"/>
        </w:numPr>
        <w:spacing w:after="80"/>
      </w:pPr>
      <w:r>
        <w:t xml:space="preserve">A spike in fuel prices to their highest levels since 2014.</w:t>
      </w:r>
    </w:p>
    <w:p>
      <w:pPr>
        <w:pStyle w:val="ListParagraph"/>
        <w:numPr>
          <w:ilvl w:val="0"/>
          <w:numId w:val="2"/>
        </w:numPr>
        <w:spacing w:after="80"/>
      </w:pPr>
      <w:r>
        <w:t xml:space="preserve">A declared state of emergency by the U.S. federal government and several state governments to ease fuel transportation restrictions.</w:t>
      </w:r>
    </w:p>
    <w:p>
      <w:pPr>
        <w:pStyle w:val="ListParagraph"/>
        <w:numPr>
          <w:ilvl w:val="0"/>
          <w:numId w:val="2"/>
        </w:numPr>
        <w:spacing w:after="80"/>
      </w:pPr>
      <w:r>
        <w:t xml:space="preserve">A $4.4 million ransom payment, plus significant additional recovery, legal, and reputational costs.</w:t>
      </w:r>
    </w:p>
    <w:p>
      <w:pPr>
        <w:pStyle w:val="ListParagraph"/>
        <w:numPr>
          <w:ilvl w:val="0"/>
          <w:numId w:val="2"/>
        </w:numPr>
        <w:spacing w:after="80"/>
      </w:pPr>
      <w:r>
        <w:t xml:space="preserve">Increased regulatory and congressional scrutiny of cybersecurity practices in U.S. critical infrastructure.</w:t>
      </w:r>
    </w:p>
    <w:p>
      <w:pPr>
        <w:pStyle w:val="Heading2"/>
      </w:pPr>
      <w:r>
        <w:t xml:space="preserve">How Could It Have Been Prevented?</w:t>
      </w:r>
    </w:p>
    <w:p>
      <w:pPr>
        <w:pStyle w:val="ListParagraph"/>
        <w:numPr>
          <w:ilvl w:val="0"/>
          <w:numId w:val="2"/>
        </w:numPr>
        <w:spacing w:after="80"/>
      </w:pPr>
      <w:r>
        <w:t xml:space="preserve">Enforcing multi-factor authentication (MFA) on all remote access accounts, especially VPNs — the single compromised password would not have been enough to gain access if MFA had been required.</w:t>
      </w:r>
    </w:p>
    <w:p>
      <w:pPr>
        <w:pStyle w:val="ListParagraph"/>
        <w:numPr>
          <w:ilvl w:val="0"/>
          <w:numId w:val="2"/>
        </w:numPr>
        <w:spacing w:after="80"/>
      </w:pPr>
      <w:r>
        <w:t xml:space="preserve">Disabling or removing unused/legacy accounts instead of leaving an inactive VPN account active and exploitable.</w:t>
      </w:r>
    </w:p>
    <w:p>
      <w:pPr>
        <w:pStyle w:val="ListParagraph"/>
        <w:numPr>
          <w:ilvl w:val="0"/>
          <w:numId w:val="2"/>
        </w:numPr>
        <w:spacing w:after="80"/>
      </w:pPr>
      <w:r>
        <w:t xml:space="preserve">Enforcing strong, unique password policies so that passwords cannot be easily guessed, reused, or found in previous breach data.</w:t>
      </w:r>
    </w:p>
    <w:p>
      <w:pPr>
        <w:pStyle w:val="ListParagraph"/>
        <w:numPr>
          <w:ilvl w:val="0"/>
          <w:numId w:val="2"/>
        </w:numPr>
        <w:spacing w:after="80"/>
      </w:pPr>
      <w:r>
        <w:t xml:space="preserve">Network segmentation between IT systems and operational technology (OT) systems, so that a breach in one does not force a shutdown of the other.</w:t>
      </w:r>
    </w:p>
    <w:p>
      <w:pPr>
        <w:pStyle w:val="ListParagraph"/>
        <w:numPr>
          <w:ilvl w:val="0"/>
          <w:numId w:val="2"/>
        </w:numPr>
        <w:spacing w:after="80"/>
      </w:pPr>
      <w:r>
        <w:t xml:space="preserve">Regular employee security awareness training, since credential theft is frequently linked to phishing.</w:t>
      </w:r>
    </w:p>
    <w:p>
      <w:pPr>
        <w:pStyle w:val="ListParagraph"/>
        <w:numPr>
          <w:ilvl w:val="0"/>
          <w:numId w:val="2"/>
        </w:numPr>
        <w:spacing w:after="80"/>
      </w:pPr>
      <w:r>
        <w:t xml:space="preserve">Maintaining tested, offline backups so that critical systems can be restored without needing to pay a ransom.</w:t>
      </w:r>
    </w:p>
    <w:p>
      <w:pPr>
        <w:pStyle w:val="Heading2"/>
      </w:pPr>
      <w:r>
        <w:t xml:space="preserve">Conclusion</w:t>
      </w:r>
    </w:p>
    <w:p>
      <w:pPr>
        <w:spacing w:after="160"/>
      </w:pPr>
      <w:r>
        <w:t xml:space="preserve">The Colonial Pipeline attack is a strong example of how a single weak point — one password without MFA — can cascade into a national-level crisis. It illustrates why cybersecurity fundamentals like access control and basic account hygiene are just as important as advanced technical defenses, especially for organizations running critical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4E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2026-06-20T08:27:12.803Z</dcterms:created>
  <dcterms:modified xsi:type="dcterms:W3CDTF">2026-06-20T08:27:12.803Z</dcterms:modified>
</cp:coreProperties>
</file>

<file path=docProps/custom.xml><?xml version="1.0" encoding="utf-8"?>
<Properties xmlns="http://schemas.openxmlformats.org/officeDocument/2006/custom-properties" xmlns:vt="http://schemas.openxmlformats.org/officeDocument/2006/docPropsVTypes"/>
</file>