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Part C: Risk Assessment Activity</w:t>
      </w:r>
    </w:p>
    <w:p>
      <w:pPr>
        <w:spacing w:after="160"/>
      </w:pPr>
      <w:r>
        <w:t xml:space="preserve">Role: Security Analyst for a College</w:t>
      </w:r>
    </w:p>
    <w:p>
      <w:pPr>
        <w:spacing w:after="160"/>
      </w:pPr>
      <w:r>
        <w:t xml:space="preserve">As a Security Analyst, my job is to identify the assets that the college relies on, the threats that could affect them, and how severe the impact would be if those threats were realized. Below are five key assets, along with the most relevant threat, impact level, and overall risk level for each.</w:t>
      </w:r>
    </w:p>
    <w:p>
      <w:pPr>
        <w:pStyle w:val="Heading2"/>
      </w:pPr>
      <w:r>
        <w:t xml:space="preserve">Risk Assessment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800"/>
        <w:gridCol w:w="1800"/>
      </w:tblGrid>
      <w:tr>
        <w:tc>
          <w:tcPr>
            <w:tcW w:type="dxa" w:w="240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b/>
                <w:bCs/>
                <w:color w:val="FFFFFF"/>
              </w:rPr>
              <w:t xml:space="preserve">Asset</w:t>
            </w:r>
          </w:p>
        </w:tc>
        <w:tc>
          <w:tcPr>
            <w:tcW w:type="dxa" w:w="336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b/>
                <w:bCs/>
                <w:color w:val="FFFFFF"/>
              </w:rPr>
              <w:t xml:space="preserve">Threat</w:t>
            </w:r>
          </w:p>
        </w:tc>
        <w:tc>
          <w:tcPr>
            <w:tcW w:type="dxa" w:w="180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b/>
                <w:bCs/>
                <w:color w:val="FFFFFF"/>
              </w:rPr>
              <w:t xml:space="preserve">Impact</w:t>
            </w:r>
          </w:p>
        </w:tc>
        <w:tc>
          <w:tcPr>
            <w:tcW w:type="dxa" w:w="180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b/>
                <w:bCs/>
                <w:color w:val="FFFFFF"/>
              </w:rPr>
              <w:t xml:space="preserve">Risk Level</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Student Records</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Data Breach / Unauthorized Access</w:t>
            </w:r>
          </w:p>
        </w:tc>
        <w:tc>
          <w:tcPr>
            <w:tcW w:type="dxa" w:w="1800"/>
            <w:tcBorders>
              <w:top w:val="single" w:color="CCCCCC" w:sz="1"/>
              <w:left w:val="single" w:color="CCCCCC" w:sz="1"/>
              <w:bottom w:val="single" w:color="CCCCCC" w:sz="1"/>
              <w:right w:val="single" w:color="CCCCCC" w:sz="1"/>
            </w:tcBorders>
            <w:shd w:fill="F8D7DA" w:val="clear"/>
            <w:tcMar>
              <w:top w:type="dxa" w:w="100"/>
              <w:left w:type="dxa" w:w="120"/>
              <w:bottom w:type="dxa" w:w="100"/>
              <w:right w:type="dxa" w:w="120"/>
            </w:tcMar>
          </w:tcPr>
          <w:p>
            <w:r>
              <w:t xml:space="preserve">High</w:t>
            </w:r>
          </w:p>
        </w:tc>
        <w:tc>
          <w:tcPr>
            <w:tcW w:type="dxa" w:w="1800"/>
            <w:tcBorders>
              <w:top w:val="single" w:color="CCCCCC" w:sz="1"/>
              <w:left w:val="single" w:color="CCCCCC" w:sz="1"/>
              <w:bottom w:val="single" w:color="CCCCCC" w:sz="1"/>
              <w:right w:val="single" w:color="CCCCCC" w:sz="1"/>
            </w:tcBorders>
            <w:shd w:fill="F8D7DA" w:val="clear"/>
            <w:tcMar>
              <w:top w:type="dxa" w:w="100"/>
              <w:left w:type="dxa" w:w="120"/>
              <w:bottom w:type="dxa" w:w="100"/>
              <w:right w:type="dxa" w:w="120"/>
            </w:tcMar>
          </w:tcPr>
          <w:p>
            <w:r>
              <w:t xml:space="preserve">High</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Examination Data</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Tampering / Leak Before Exams</w:t>
            </w:r>
          </w:p>
        </w:tc>
        <w:tc>
          <w:tcPr>
            <w:tcW w:type="dxa" w:w="1800"/>
            <w:tcBorders>
              <w:top w:val="single" w:color="CCCCCC" w:sz="1"/>
              <w:left w:val="single" w:color="CCCCCC" w:sz="1"/>
              <w:bottom w:val="single" w:color="CCCCCC" w:sz="1"/>
              <w:right w:val="single" w:color="CCCCCC" w:sz="1"/>
            </w:tcBorders>
            <w:shd w:fill="F8D7DA" w:val="clear"/>
            <w:tcMar>
              <w:top w:type="dxa" w:w="100"/>
              <w:left w:type="dxa" w:w="120"/>
              <w:bottom w:type="dxa" w:w="100"/>
              <w:right w:type="dxa" w:w="120"/>
            </w:tcMar>
          </w:tcPr>
          <w:p>
            <w:r>
              <w:t xml:space="preserve">High</w:t>
            </w:r>
          </w:p>
        </w:tc>
        <w:tc>
          <w:tcPr>
            <w:tcW w:type="dxa" w:w="1800"/>
            <w:tcBorders>
              <w:top w:val="single" w:color="CCCCCC" w:sz="1"/>
              <w:left w:val="single" w:color="CCCCCC" w:sz="1"/>
              <w:bottom w:val="single" w:color="CCCCCC" w:sz="1"/>
              <w:right w:val="single" w:color="CCCCCC" w:sz="1"/>
            </w:tcBorders>
            <w:shd w:fill="F8D7DA" w:val="clear"/>
            <w:tcMar>
              <w:top w:type="dxa" w:w="100"/>
              <w:left w:type="dxa" w:w="120"/>
              <w:bottom w:type="dxa" w:w="100"/>
              <w:right w:type="dxa" w:w="120"/>
            </w:tcMar>
          </w:tcPr>
          <w:p>
            <w:r>
              <w:t xml:space="preserve">High</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College Website</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Defacement / DDoS Attack</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t xml:space="preserve">Medium</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t xml:space="preserve">Medium</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Faculty Information</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Phishing / Identity Theft</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t xml:space="preserve">Medium</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t xml:space="preserve">Medium</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Network Infrastructure</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Malware / Unauthorized Network Access</w:t>
            </w:r>
          </w:p>
        </w:tc>
        <w:tc>
          <w:tcPr>
            <w:tcW w:type="dxa" w:w="1800"/>
            <w:tcBorders>
              <w:top w:val="single" w:color="CCCCCC" w:sz="1"/>
              <w:left w:val="single" w:color="CCCCCC" w:sz="1"/>
              <w:bottom w:val="single" w:color="CCCCCC" w:sz="1"/>
              <w:right w:val="single" w:color="CCCCCC" w:sz="1"/>
            </w:tcBorders>
            <w:shd w:fill="F8D7DA" w:val="clear"/>
            <w:tcMar>
              <w:top w:type="dxa" w:w="100"/>
              <w:left w:type="dxa" w:w="120"/>
              <w:bottom w:type="dxa" w:w="100"/>
              <w:right w:type="dxa" w:w="120"/>
            </w:tcMar>
          </w:tcPr>
          <w:p>
            <w:r>
              <w:t xml:space="preserve">High</w:t>
            </w:r>
          </w:p>
        </w:tc>
        <w:tc>
          <w:tcPr>
            <w:tcW w:type="dxa" w:w="1800"/>
            <w:tcBorders>
              <w:top w:val="single" w:color="CCCCCC" w:sz="1"/>
              <w:left w:val="single" w:color="CCCCCC" w:sz="1"/>
              <w:bottom w:val="single" w:color="CCCCCC" w:sz="1"/>
              <w:right w:val="single" w:color="CCCCCC" w:sz="1"/>
            </w:tcBorders>
            <w:shd w:fill="F8D7DA" w:val="clear"/>
            <w:tcMar>
              <w:top w:type="dxa" w:w="100"/>
              <w:left w:type="dxa" w:w="120"/>
              <w:bottom w:type="dxa" w:w="100"/>
              <w:right w:type="dxa" w:w="120"/>
            </w:tcMar>
          </w:tcPr>
          <w:p>
            <w:r>
              <w:t xml:space="preserve">High</w:t>
            </w:r>
          </w:p>
        </w:tc>
      </w:tr>
    </w:tbl>
    <w:p>
      <w:pPr>
        <w:spacing w:before="280"/>
      </w:pPr>
    </w:p>
    <w:p>
      <w:pPr>
        <w:pStyle w:val="Heading2"/>
      </w:pPr>
      <w:r>
        <w:t xml:space="preserve">Reasoning Behind Each Rating</w:t>
      </w:r>
    </w:p>
    <w:p>
      <w:pPr>
        <w:spacing w:after="160"/>
      </w:pPr>
      <w:r>
        <w:t xml:space="preserve">Student Records: Contains personally identifiable information (PII) such as names, addresses, and academic history. A breach would violate student privacy and could lead to legal consequences for the college, so both impact and risk are rated High.</w:t>
      </w:r>
    </w:p>
    <w:p>
      <w:pPr>
        <w:spacing w:after="160"/>
      </w:pPr>
      <w:r>
        <w:t xml:space="preserve">Examination Data: If exam papers or results were leaked or tampered with before the exam, it would compromise academic integrity for the entire institution, making this a High risk asset.</w:t>
      </w:r>
    </w:p>
    <w:p>
      <w:pPr>
        <w:spacing w:after="160"/>
      </w:pPr>
      <w:r>
        <w:t xml:space="preserve">College Website: Often the public face of the institution. A defacement or downtime incident is embarrassing and disruptive but generally does not expose deeply sensitive personal data, so it is rated Medium.</w:t>
      </w:r>
    </w:p>
    <w:p>
      <w:pPr>
        <w:spacing w:after="160"/>
      </w:pPr>
      <w:r>
        <w:t xml:space="preserve">Faculty Information: Includes contact details and possibly payroll-related data. A breach could lead to targeted phishing or identity theft against staff, rated Medium.</w:t>
      </w:r>
    </w:p>
    <w:p>
      <w:pPr>
        <w:spacing w:after="160"/>
      </w:pPr>
      <w:r>
        <w:t xml:space="preserve">Network Infrastructure: The backbone that all other systems depend on. If compromised, it could affect every other asset on this list simultaneously, so it is rated High.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Arial" w:cs="Arial" w:eastAsia="Arial" w:hAnsi="Arial"/>
      <w:b/>
      <w:bCs/>
      <w:color w:val="1F4E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4E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2026-06-20T08:27:31.965Z</dcterms:created>
  <dcterms:modified xsi:type="dcterms:W3CDTF">2026-06-20T08:27:31.965Z</dcterms:modified>
</cp:coreProperties>
</file>

<file path=docProps/custom.xml><?xml version="1.0" encoding="utf-8"?>
<Properties xmlns="http://schemas.openxmlformats.org/officeDocument/2006/custom-properties" xmlns:vt="http://schemas.openxmlformats.org/officeDocument/2006/docPropsVTypes"/>
</file>