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Sales Performance Analytics</w:t>
      </w:r>
    </w:p>
    <w:p>
      <w:pPr>
        <w:jc w:val="center"/>
      </w:pPr>
      <w:r>
        <w:rPr>
          <w:b/>
          <w:sz w:val="32"/>
        </w:rPr>
        <w:t>Phase 10 — Exploratory Data Analysis</w:t>
      </w:r>
    </w:p>
    <w:p>
      <w:pPr>
        <w:jc w:val="center"/>
      </w:pPr>
      <w:r>
        <w:rPr>
          <w:b/>
        </w:rPr>
        <w:t>10.20 — Findings Extraction Report</w:t>
      </w:r>
    </w:p>
    <w:p>
      <w:pPr>
        <w:pStyle w:val="Heading1"/>
      </w:pPr>
      <w:r>
        <w:t>Executive Summary</w:t>
      </w:r>
    </w:p>
    <w:p>
      <w:r>
        <w:t>This report consolidates 10 strong findings from the exploratory data analysis. The findings focus on commercially meaningful patterns rather than listing every visible chart observation. The analysis indicates highly skewed order values, strong historical sales growth, category-level concentration, diversified product-level performance, heavy dependence on credit cards, generally positive but polarized customer satisfaction, and meaningful long-tail logistics risk.</w:t>
      </w:r>
    </w:p>
    <w:p>
      <w:r>
        <w:t>The current descriptive EDA establishes the structure of the business. The next stage should focus on relationship and root-cause analysis, especially whether delivery and logistics performance are materially associated with customer dissatisfaction.</w:t>
      </w:r>
    </w:p>
    <w:p>
      <w:pPr>
        <w:pStyle w:val="Heading1"/>
      </w:pPr>
      <w:r>
        <w:t>Consolidated Findings</w:t>
      </w:r>
    </w:p>
    <w:p>
      <w:pPr>
        <w:pStyle w:val="Heading2"/>
      </w:pPr>
      <w:r>
        <w:t>Finding 1 — Order values are highly right-skewed</w:t>
      </w:r>
    </w:p>
    <w:p>
      <w:r>
        <w:rPr>
          <w:b/>
        </w:rPr>
        <w:t xml:space="preserve">Observation: </w:t>
      </w:r>
      <w:r>
        <w:t>Order values are concentrated at relatively low levels, with a small number of extremely high-value orders forming a long right tail.</w:t>
      </w:r>
    </w:p>
    <w:p>
      <w:r>
        <w:rPr>
          <w:b/>
        </w:rPr>
        <w:t xml:space="preserve">Evidence: </w:t>
      </w:r>
      <w:r>
        <w:t>The order value distribution extends to approximately R$14,000, while most observations are concentrated far below this extreme range.</w:t>
      </w:r>
    </w:p>
    <w:p>
      <w:r>
        <w:rPr>
          <w:b/>
        </w:rPr>
        <w:t xml:space="preserve">Business implication: </w:t>
      </w:r>
      <w:r>
        <w:t>Average order value alone is not a reliable representation of a typical customer purchase because a small number of expensive orders can inflate the mean. Median and percentile-based metrics should be used alongside the mean.</w:t>
      </w:r>
    </w:p>
    <w:p>
      <w:r>
        <w:rPr>
          <w:b/>
        </w:rPr>
        <w:t xml:space="preserve">Limitation: </w:t>
      </w:r>
      <w:r>
        <w:t>The chart alone does not determine whether extreme orders are legitimate high-value purchases or unusual records requiring further validation.</w:t>
      </w:r>
    </w:p>
    <w:p>
      <w:pPr>
        <w:pStyle w:val="Heading2"/>
      </w:pPr>
      <w:r>
        <w:t>Finding 2 — The business experienced strong growth before reaching a high-sales plateau</w:t>
      </w:r>
    </w:p>
    <w:p>
      <w:r>
        <w:rPr>
          <w:b/>
        </w:rPr>
        <w:t xml:space="preserve">Observation: </w:t>
      </w:r>
      <w:r>
        <w:t>Monthly item sales increased substantially through 2017 and remained at relatively high levels during much of 2018.</w:t>
      </w:r>
    </w:p>
    <w:p>
      <w:r>
        <w:rPr>
          <w:b/>
        </w:rPr>
        <w:t xml:space="preserve">Evidence: </w:t>
      </w:r>
      <w:r>
        <w:t>Monthly sales rose from relatively low levels to approximately R$1 million per month during peak months, including late 2017 and parts of 2018.</w:t>
      </w:r>
    </w:p>
    <w:p>
      <w:r>
        <w:rPr>
          <w:b/>
        </w:rPr>
        <w:t xml:space="preserve">Business implication: </w:t>
      </w:r>
      <w:r>
        <w:t>The historical pattern suggests a transition from rapid growth to a higher-volume operating level. Future analysis should distinguish between growth rate and absolute sales volume.</w:t>
      </w:r>
    </w:p>
    <w:p>
      <w:r>
        <w:rPr>
          <w:b/>
        </w:rPr>
        <w:t xml:space="preserve">Limitation: </w:t>
      </w:r>
      <w:r>
        <w:t>The sharp decline in September 2018 may reflect incomplete dataset coverage rather than an actual collapse in sales and should not be included in trend interpretation without validating date completeness.</w:t>
      </w:r>
    </w:p>
    <w:p>
      <w:pPr>
        <w:pStyle w:val="Heading2"/>
      </w:pPr>
      <w:r>
        <w:t>Finding 3 — Revenue is concentrated in a relatively small group of product categories</w:t>
      </w:r>
    </w:p>
    <w:p>
      <w:r>
        <w:rPr>
          <w:b/>
        </w:rPr>
        <w:t xml:space="preserve">Observation: </w:t>
      </w:r>
      <w:r>
        <w:t>A small number of product categories generate substantially more item sales than the rest.</w:t>
      </w:r>
    </w:p>
    <w:p>
      <w:r>
        <w:rPr>
          <w:b/>
        </w:rPr>
        <w:t xml:space="preserve">Evidence: </w:t>
      </w:r>
      <w:r>
        <w:t>Categories such as beleza_saude, relogios_presentes, cama_mesa_banho, esporte_lazer, and informatica_acessorios lead category-level sales, with the top category generating approximately R$1.25M+.</w:t>
      </w:r>
    </w:p>
    <w:p>
      <w:r>
        <w:rPr>
          <w:b/>
        </w:rPr>
        <w:t xml:space="preserve">Business implication: </w:t>
      </w:r>
      <w:r>
        <w:t>These categories represent major commercial concentration areas and should receive priority in further analysis of customer satisfaction, delivery performance, freight burden, and sales growth.</w:t>
      </w:r>
    </w:p>
    <w:p>
      <w:r>
        <w:rPr>
          <w:b/>
        </w:rPr>
        <w:t xml:space="preserve">Limitation: </w:t>
      </w:r>
      <w:r>
        <w:t>High sales value does not necessarily indicate high unit demand. A category may rank highly because it contains expensive products.</w:t>
      </w:r>
    </w:p>
    <w:p>
      <w:pPr>
        <w:pStyle w:val="Heading2"/>
      </w:pPr>
      <w:r>
        <w:t>Finding 4 — Category-level success is broader than individual product dependence</w:t>
      </w:r>
    </w:p>
    <w:p>
      <w:r>
        <w:rPr>
          <w:b/>
        </w:rPr>
        <w:t xml:space="preserve">Observation: </w:t>
      </w:r>
      <w:r>
        <w:t>Although some categories are major revenue contributors, no single individual product appears to dominate the overall business.</w:t>
      </w:r>
    </w:p>
    <w:p>
      <w:r>
        <w:rPr>
          <w:b/>
        </w:rPr>
        <w:t xml:space="preserve">Evidence: </w:t>
      </w:r>
      <w:r>
        <w:t>The highest-selling individual products generate approximately R$24K–R$64K, which is small compared with category-level sales exceeding R$1M.</w:t>
      </w:r>
    </w:p>
    <w:p>
      <w:r>
        <w:rPr>
          <w:b/>
        </w:rPr>
        <w:t xml:space="preserve">Business implication: </w:t>
      </w:r>
      <w:r>
        <w:t>The product portfolio appears diversified within successful categories rather than dependent on a few blockbuster SKUs. This reduces concentration risk at the individual SKU level.</w:t>
      </w:r>
    </w:p>
    <w:p>
      <w:r>
        <w:rPr>
          <w:b/>
        </w:rPr>
        <w:t xml:space="preserve">Limitation: </w:t>
      </w:r>
      <w:r>
        <w:t>The product-level chart uses hashed product IDs, making the results difficult to communicate or operationalize from a business perspective without additional product metadata.</w:t>
      </w:r>
    </w:p>
    <w:p>
      <w:pPr>
        <w:pStyle w:val="Heading2"/>
      </w:pPr>
      <w:r>
        <w:t>Finding 5 — Credit cards dominate both payment usage and monetary contribution</w:t>
      </w:r>
    </w:p>
    <w:p>
      <w:r>
        <w:rPr>
          <w:b/>
        </w:rPr>
        <w:t xml:space="preserve">Observation: </w:t>
      </w:r>
      <w:r>
        <w:t>Credit cards are the dominant payment method in both transaction frequency and total payment value.</w:t>
      </w:r>
    </w:p>
    <w:p>
      <w:r>
        <w:rPr>
          <w:b/>
        </w:rPr>
        <w:t xml:space="preserve">Evidence: </w:t>
      </w:r>
      <w:r>
        <w:t>Credit cards account for approximately 76,000 payment records and roughly R$12.5M+ in total payment value, compared with boleto at approximately 20,000 records and R$2.8M.</w:t>
      </w:r>
    </w:p>
    <w:p>
      <w:r>
        <w:rPr>
          <w:b/>
        </w:rPr>
        <w:t xml:space="preserve">Business implication: </w:t>
      </w:r>
      <w:r>
        <w:t>Credit card infrastructure is commercially critical. Payment reliability, checkout improvements, and payment optimization should prioritize the credit-card channel.</w:t>
      </w:r>
    </w:p>
    <w:p>
      <w:r>
        <w:rPr>
          <w:b/>
        </w:rPr>
        <w:t xml:space="preserve">Limitation: </w:t>
      </w:r>
      <w:r>
        <w:t>Total payment value and transaction frequency do not reveal whether credit-card customers spend more per transaction. Average payment value by method must be calculated separately.</w:t>
      </w:r>
    </w:p>
    <w:p>
      <w:pPr>
        <w:pStyle w:val="Heading2"/>
      </w:pPr>
      <w:r>
        <w:t>Finding 6 — Customer satisfaction is generally high, but negative experiences are polarized</w:t>
      </w:r>
    </w:p>
    <w:p>
      <w:r>
        <w:rPr>
          <w:b/>
        </w:rPr>
        <w:t xml:space="preserve">Observation: </w:t>
      </w:r>
      <w:r>
        <w:t>Five-star reviews dominate the distribution, but one-star reviews occur substantially more often than two- or three-star reviews.</w:t>
      </w:r>
    </w:p>
    <w:p>
      <w:r>
        <w:rPr>
          <w:b/>
        </w:rPr>
        <w:t xml:space="preserve">Evidence: </w:t>
      </w:r>
      <w:r>
        <w:t>Approximately 57,000 reviews are rated 5, compared with roughly 11,000 rated 1, while scores 2 and 3 are considerably less frequent.</w:t>
      </w:r>
    </w:p>
    <w:p>
      <w:r>
        <w:rPr>
          <w:b/>
        </w:rPr>
        <w:t xml:space="preserve">Business implication: </w:t>
      </w:r>
      <w:r>
        <w:t>Most customer experiences are highly positive, but when experiences fail, dissatisfaction may be severe rather than moderate. One-star orders should be investigated for operational root causes.</w:t>
      </w:r>
    </w:p>
    <w:p>
      <w:r>
        <w:rPr>
          <w:b/>
        </w:rPr>
        <w:t xml:space="preserve">Limitation: </w:t>
      </w:r>
      <w:r>
        <w:t>Review scores alone do not identify the reason for dissatisfaction. Relationships with delivery performance, freight, seller, category, and order status need further analysis.</w:t>
      </w:r>
    </w:p>
    <w:p>
      <w:pPr>
        <w:pStyle w:val="Heading2"/>
      </w:pPr>
      <w:r>
        <w:t>Finding 7 — Delivery performance has a significant long-tail risk</w:t>
      </w:r>
    </w:p>
    <w:p>
      <w:r>
        <w:rPr>
          <w:b/>
        </w:rPr>
        <w:t xml:space="preserve">Observation: </w:t>
      </w:r>
      <w:r>
        <w:t>Most deliveries occur within a relatively moderate timeframe, but a small number of orders have extremely long delivery durations.</w:t>
      </w:r>
    </w:p>
    <w:p>
      <w:r>
        <w:rPr>
          <w:b/>
        </w:rPr>
        <w:t xml:space="preserve">Evidence: </w:t>
      </w:r>
      <w:r>
        <w:t>The delivery duration distribution is strongly right-skewed, with the majority concentrated roughly within 5–25 days and a tail extending beyond 200 days.</w:t>
      </w:r>
    </w:p>
    <w:p>
      <w:r>
        <w:rPr>
          <w:b/>
        </w:rPr>
        <w:t xml:space="preserve">Business implication: </w:t>
      </w:r>
      <w:r>
        <w:t>Average delivery duration can hide severe delivery failures. The business should monitor percentile-based delivery metrics and investigate extreme cases separately.</w:t>
      </w:r>
    </w:p>
    <w:p>
      <w:r>
        <w:rPr>
          <w:b/>
        </w:rPr>
        <w:t xml:space="preserve">Limitation: </w:t>
      </w:r>
      <w:r>
        <w:t>Extremely long durations may represent genuine operational failures, exceptional lifecycle events, or timestamp/data-quality issues. The chart alone cannot distinguish between them.</w:t>
      </w:r>
    </w:p>
    <w:p>
      <w:pPr>
        <w:pStyle w:val="Heading2"/>
      </w:pPr>
      <w:r>
        <w:t>Finding 8 — Successful delivery dominates order outcomes, masking smaller operational failure categories</w:t>
      </w:r>
    </w:p>
    <w:p>
      <w:r>
        <w:rPr>
          <w:b/>
        </w:rPr>
        <w:t xml:space="preserve">Observation: </w:t>
      </w:r>
      <w:r>
        <w:t>The overwhelming majority of orders have a delivered status.</w:t>
      </w:r>
    </w:p>
    <w:p>
      <w:r>
        <w:rPr>
          <w:b/>
        </w:rPr>
        <w:t xml:space="preserve">Evidence: </w:t>
      </w:r>
      <w:r>
        <w:t>Approximately 96,000 orders are shown as delivered, while shipped, canceled, unavailable, invoiced, processing, created, and approved orders are comparatively very small.</w:t>
      </w:r>
    </w:p>
    <w:p>
      <w:r>
        <w:rPr>
          <w:b/>
        </w:rPr>
        <w:t xml:space="preserve">Business implication: </w:t>
      </w:r>
      <w:r>
        <w:t>Overall fulfillment success appears strong, but the minority of non-delivered orders may have disproportionate effects on customer dissatisfaction and operational cost. These statuses should be analyzed separately.</w:t>
      </w:r>
    </w:p>
    <w:p>
      <w:r>
        <w:rPr>
          <w:b/>
        </w:rPr>
        <w:t xml:space="preserve">Limitation: </w:t>
      </w:r>
      <w:r>
        <w:t>The dominance of delivered makes visual comparison among non-delivered statuses difficult. A separate chart excluding delivered orders would provide more meaningful failure analysis.</w:t>
      </w:r>
    </w:p>
    <w:p>
      <w:pPr>
        <w:pStyle w:val="Heading2"/>
      </w:pPr>
      <w:r>
        <w:t>Finding 9 — Product price alone does not explain freight cost</w:t>
      </w:r>
    </w:p>
    <w:p>
      <w:r>
        <w:rPr>
          <w:b/>
        </w:rPr>
        <w:t xml:space="preserve">Observation: </w:t>
      </w:r>
      <w:r>
        <w:t>There is no obvious strong linear relationship between product price and freight value.</w:t>
      </w:r>
    </w:p>
    <w:p>
      <w:r>
        <w:rPr>
          <w:b/>
        </w:rPr>
        <w:t xml:space="preserve">Evidence: </w:t>
      </w:r>
      <w:r>
        <w:t>The scatter plot contains expensive products with moderate freight and lower-priced products with unusually high freight. Freight values exceed R$300 in some observations.</w:t>
      </w:r>
    </w:p>
    <w:p>
      <w:r>
        <w:rPr>
          <w:b/>
        </w:rPr>
        <w:t xml:space="preserve">Business implication: </w:t>
      </w:r>
      <w:r>
        <w:t>Freight appears to depend on additional logistics variables beyond product price, likely requiring geographic and product-level analysis.</w:t>
      </w:r>
    </w:p>
    <w:p>
      <w:r>
        <w:rPr>
          <w:b/>
        </w:rPr>
        <w:t xml:space="preserve">Limitation: </w:t>
      </w:r>
      <w:r>
        <w:t>The scatter plot is descriptive and does not quantify the relationship. Pearson and Spearman correlations should be calculated before making a statistical claim about correlation strength.</w:t>
      </w:r>
    </w:p>
    <w:p>
      <w:pPr>
        <w:pStyle w:val="Heading2"/>
      </w:pPr>
      <w:r>
        <w:t>Finding 10 — Freight can create disproportionate cost burden for lower-priced purchases</w:t>
      </w:r>
    </w:p>
    <w:p>
      <w:r>
        <w:rPr>
          <w:b/>
        </w:rPr>
        <w:t xml:space="preserve">Observation: </w:t>
      </w:r>
      <w:r>
        <w:t>Some relatively inexpensive products have freight charges that are high relative to the product price.</w:t>
      </w:r>
    </w:p>
    <w:p>
      <w:r>
        <w:rPr>
          <w:b/>
        </w:rPr>
        <w:t xml:space="preserve">Evidence: </w:t>
      </w:r>
      <w:r>
        <w:t>The scatter plot shows observations with low-to-medium product prices but freight values substantially above the dense low-freight cluster.</w:t>
      </w:r>
    </w:p>
    <w:p>
      <w:r>
        <w:rPr>
          <w:b/>
        </w:rPr>
        <w:t xml:space="preserve">Business implication: </w:t>
      </w:r>
      <w:r>
        <w:t>Absolute freight value is not enough to assess customer burden. A low-priced product with high freight may create a poor value perception, potentially affecting conversion and satisfaction. Recommended metric: Freight Burden Ratio = Freight Value / Product Price.</w:t>
      </w:r>
    </w:p>
    <w:p>
      <w:r>
        <w:rPr>
          <w:b/>
        </w:rPr>
        <w:t xml:space="preserve">Limitation: </w:t>
      </w:r>
      <w:r>
        <w:t>The current chart does not directly show the freight-to-price ratio, so this finding should be validated quantitatively before identifying specific categories or transactions as having excessive freight burden.</w:t>
      </w:r>
    </w:p>
    <w:p>
      <w:pPr>
        <w:pStyle w:val="Heading1"/>
      </w:pPr>
      <w:r>
        <w:t>Final EDA Findings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w:t>
            </w:r>
          </w:p>
        </w:tc>
        <w:tc>
          <w:tcPr>
            <w:tcW w:type="dxa" w:w="3408"/>
            <w:shd w:fill="D9EAF7"/>
          </w:tcPr>
          <w:p>
            <w:r>
              <w:rPr>
                <w:b/>
              </w:rPr>
              <w:t>Finding</w:t>
            </w:r>
          </w:p>
        </w:tc>
        <w:tc>
          <w:tcPr>
            <w:tcW w:type="dxa" w:w="3408"/>
            <w:shd w:fill="D9EAF7"/>
          </w:tcPr>
          <w:p>
            <w:r>
              <w:rPr>
                <w:b/>
              </w:rPr>
              <w:t>Business Significance</w:t>
            </w:r>
          </w:p>
        </w:tc>
      </w:tr>
      <w:tr>
        <w:tc>
          <w:tcPr>
            <w:tcW w:type="dxa" w:w="3408"/>
          </w:tcPr>
          <w:p>
            <w:r>
              <w:t>1</w:t>
            </w:r>
          </w:p>
        </w:tc>
        <w:tc>
          <w:tcPr>
            <w:tcW w:type="dxa" w:w="3408"/>
          </w:tcPr>
          <w:p>
            <w:r>
              <w:t>Order values are heavily right-skewed</w:t>
            </w:r>
          </w:p>
        </w:tc>
        <w:tc>
          <w:tcPr>
            <w:tcW w:type="dxa" w:w="3408"/>
          </w:tcPr>
          <w:p>
            <w:r>
              <w:t>Mean alone is misleading</w:t>
            </w:r>
          </w:p>
        </w:tc>
      </w:tr>
      <w:tr>
        <w:tc>
          <w:tcPr>
            <w:tcW w:type="dxa" w:w="3408"/>
          </w:tcPr>
          <w:p>
            <w:r>
              <w:t>2</w:t>
            </w:r>
          </w:p>
        </w:tc>
        <w:tc>
          <w:tcPr>
            <w:tcW w:type="dxa" w:w="3408"/>
          </w:tcPr>
          <w:p>
            <w:r>
              <w:t>Sales grew rapidly before reaching a higher-volume plateau</w:t>
            </w:r>
          </w:p>
        </w:tc>
        <w:tc>
          <w:tcPr>
            <w:tcW w:type="dxa" w:w="3408"/>
          </w:tcPr>
          <w:p>
            <w:r>
              <w:t>Historical growth pattern</w:t>
            </w:r>
          </w:p>
        </w:tc>
      </w:tr>
      <w:tr>
        <w:tc>
          <w:tcPr>
            <w:tcW w:type="dxa" w:w="3408"/>
          </w:tcPr>
          <w:p>
            <w:r>
              <w:t>3</w:t>
            </w:r>
          </w:p>
        </w:tc>
        <w:tc>
          <w:tcPr>
            <w:tcW w:type="dxa" w:w="3408"/>
          </w:tcPr>
          <w:p>
            <w:r>
              <w:t>Revenue is concentrated in a small group of categories</w:t>
            </w:r>
          </w:p>
        </w:tc>
        <w:tc>
          <w:tcPr>
            <w:tcW w:type="dxa" w:w="3408"/>
          </w:tcPr>
          <w:p>
            <w:r>
              <w:t>Category concentration</w:t>
            </w:r>
          </w:p>
        </w:tc>
      </w:tr>
      <w:tr>
        <w:tc>
          <w:tcPr>
            <w:tcW w:type="dxa" w:w="3408"/>
          </w:tcPr>
          <w:p>
            <w:r>
              <w:t>4</w:t>
            </w:r>
          </w:p>
        </w:tc>
        <w:tc>
          <w:tcPr>
            <w:tcW w:type="dxa" w:w="3408"/>
          </w:tcPr>
          <w:p>
            <w:r>
              <w:t>Individual product sales are relatively diversified</w:t>
            </w:r>
          </w:p>
        </w:tc>
        <w:tc>
          <w:tcPr>
            <w:tcW w:type="dxa" w:w="3408"/>
          </w:tcPr>
          <w:p>
            <w:r>
              <w:t>Lower single-product dependency</w:t>
            </w:r>
          </w:p>
        </w:tc>
      </w:tr>
      <w:tr>
        <w:tc>
          <w:tcPr>
            <w:tcW w:type="dxa" w:w="3408"/>
          </w:tcPr>
          <w:p>
            <w:r>
              <w:t>5</w:t>
            </w:r>
          </w:p>
        </w:tc>
        <w:tc>
          <w:tcPr>
            <w:tcW w:type="dxa" w:w="3408"/>
          </w:tcPr>
          <w:p>
            <w:r>
              <w:t>Credit cards dominate payments and payment value</w:t>
            </w:r>
          </w:p>
        </w:tc>
        <w:tc>
          <w:tcPr>
            <w:tcW w:type="dxa" w:w="3408"/>
          </w:tcPr>
          <w:p>
            <w:r>
              <w:t>Major payment-channel dependency</w:t>
            </w:r>
          </w:p>
        </w:tc>
      </w:tr>
      <w:tr>
        <w:tc>
          <w:tcPr>
            <w:tcW w:type="dxa" w:w="3408"/>
          </w:tcPr>
          <w:p>
            <w:r>
              <w:t>6</w:t>
            </w:r>
          </w:p>
        </w:tc>
        <w:tc>
          <w:tcPr>
            <w:tcW w:type="dxa" w:w="3408"/>
          </w:tcPr>
          <w:p>
            <w:r>
              <w:t>Satisfaction is high but negative experiences are severe</w:t>
            </w:r>
          </w:p>
        </w:tc>
        <w:tc>
          <w:tcPr>
            <w:tcW w:type="dxa" w:w="3408"/>
          </w:tcPr>
          <w:p>
            <w:r>
              <w:t>Investigate 1-star reviews</w:t>
            </w:r>
          </w:p>
        </w:tc>
      </w:tr>
      <w:tr>
        <w:tc>
          <w:tcPr>
            <w:tcW w:type="dxa" w:w="3408"/>
          </w:tcPr>
          <w:p>
            <w:r>
              <w:t>7</w:t>
            </w:r>
          </w:p>
        </w:tc>
        <w:tc>
          <w:tcPr>
            <w:tcW w:type="dxa" w:w="3408"/>
          </w:tcPr>
          <w:p>
            <w:r>
              <w:t>Delivery duration has a long tail</w:t>
            </w:r>
          </w:p>
        </w:tc>
        <w:tc>
          <w:tcPr>
            <w:tcW w:type="dxa" w:w="3408"/>
          </w:tcPr>
          <w:p>
            <w:r>
              <w:t>Extreme delivery-risk cases</w:t>
            </w:r>
          </w:p>
        </w:tc>
      </w:tr>
      <w:tr>
        <w:tc>
          <w:tcPr>
            <w:tcW w:type="dxa" w:w="3408"/>
          </w:tcPr>
          <w:p>
            <w:r>
              <w:t>8</w:t>
            </w:r>
          </w:p>
        </w:tc>
        <w:tc>
          <w:tcPr>
            <w:tcW w:type="dxa" w:w="3408"/>
          </w:tcPr>
          <w:p>
            <w:r>
              <w:t>Delivered orders dominate order outcomes</w:t>
            </w:r>
          </w:p>
        </w:tc>
        <w:tc>
          <w:tcPr>
            <w:tcW w:type="dxa" w:w="3408"/>
          </w:tcPr>
          <w:p>
            <w:r>
              <w:t>Analyze non-delivered failures separately</w:t>
            </w:r>
          </w:p>
        </w:tc>
      </w:tr>
      <w:tr>
        <w:tc>
          <w:tcPr>
            <w:tcW w:type="dxa" w:w="3408"/>
          </w:tcPr>
          <w:p>
            <w:r>
              <w:t>9</w:t>
            </w:r>
          </w:p>
        </w:tc>
        <w:tc>
          <w:tcPr>
            <w:tcW w:type="dxa" w:w="3408"/>
          </w:tcPr>
          <w:p>
            <w:r>
              <w:t>Product price does not sufficiently explain freight</w:t>
            </w:r>
          </w:p>
        </w:tc>
        <w:tc>
          <w:tcPr>
            <w:tcW w:type="dxa" w:w="3408"/>
          </w:tcPr>
          <w:p>
            <w:r>
              <w:t>Logistics variables likely matter</w:t>
            </w:r>
          </w:p>
        </w:tc>
      </w:tr>
      <w:tr>
        <w:tc>
          <w:tcPr>
            <w:tcW w:type="dxa" w:w="3408"/>
          </w:tcPr>
          <w:p>
            <w:r>
              <w:t>10</w:t>
            </w:r>
          </w:p>
        </w:tc>
        <w:tc>
          <w:tcPr>
            <w:tcW w:type="dxa" w:w="3408"/>
          </w:tcPr>
          <w:p>
            <w:r>
              <w:t>Freight may disproportionately burden cheaper purchases</w:t>
            </w:r>
          </w:p>
        </w:tc>
        <w:tc>
          <w:tcPr>
            <w:tcW w:type="dxa" w:w="3408"/>
          </w:tcPr>
          <w:p>
            <w:r>
              <w:t>Potential customer-value problem</w:t>
            </w:r>
          </w:p>
        </w:tc>
      </w:tr>
    </w:tbl>
    <w:p>
      <w:pPr>
        <w:pStyle w:val="Heading1"/>
      </w:pPr>
      <w:r>
        <w:t>Critical Validation and Interpretation Issues</w:t>
      </w:r>
    </w:p>
    <w:p>
      <w:pPr>
        <w:pStyle w:val="Heading2"/>
      </w:pPr>
      <w:r>
        <w:t>Validate Customer Repeat-Purchase Analysis</w:t>
      </w:r>
    </w:p>
    <w:p>
      <w:r>
        <w:t>The customer order frequency chart should not be used as a final business finding until the identifier is confirmed. Repeat purchasing should be evaluated using customer_unique_id rather than customer_id. Grouping by customer_id can make repeat customers appear as separate customer records and materially understate repeat behavior.</w:t>
      </w:r>
    </w:p>
    <w:p>
      <w:pPr>
        <w:pStyle w:val="Heading2"/>
      </w:pPr>
      <w:r>
        <w:t>Validate September 2018 Dataset Completeness</w:t>
      </w:r>
    </w:p>
    <w:p>
      <w:r>
        <w:t>The near-zero September 2018 sales value should not be interpreted as a business collapse until the maximum order timestamp and the number of covered days in that month are verified. Incomplete months should be excluded from month-over-month and trend conclusions.</w:t>
      </w:r>
    </w:p>
    <w:p>
      <w:pPr>
        <w:pStyle w:val="Heading2"/>
      </w:pPr>
      <w:r>
        <w:t>Quantify Relationships Before Making Statistical Claims</w:t>
      </w:r>
    </w:p>
    <w:p>
      <w:r>
        <w:t>The freight-versus-price chart suggests that product price is not a sufficient predictor of freight, but visual inspection alone is not a statistical test. Pearson and Spearman correlations should be calculated before characterizing the relationship quantitatively.</w:t>
      </w:r>
    </w:p>
    <w:p>
      <w:pPr>
        <w:pStyle w:val="Heading2"/>
      </w:pPr>
      <w:r>
        <w:t>Separate Data Anomalies From Operational Failures</w:t>
      </w:r>
    </w:p>
    <w:p>
      <w:r>
        <w:t>Extreme delivery durations and extreme order values should be investigated before removal or interpretation. Outliers may represent genuine business events, exceptional order lifecycles, or data-quality problems.</w:t>
      </w:r>
    </w:p>
    <w:p>
      <w:pPr>
        <w:pStyle w:val="Heading1"/>
      </w:pPr>
      <w:r>
        <w:t>Recommended Next EDA Stage: Relationship and Root-Cause Analysis</w:t>
      </w:r>
    </w:p>
    <w:p>
      <w:r>
        <w:rPr>
          <w:b/>
        </w:rPr>
        <w:t xml:space="preserve">Priority 1 — Delivery Duration vs Review Score: </w:t>
      </w:r>
      <w:r>
        <w:t>Test whether slower deliveries are associated with lower customer satisfaction.</w:t>
      </w:r>
    </w:p>
    <w:p>
      <w:r>
        <w:rPr>
          <w:b/>
        </w:rPr>
        <w:t xml:space="preserve">Priority 2 — Delivery Delay vs Review Score: </w:t>
      </w:r>
      <w:r>
        <w:t>Calculate Delivery Delay = Actual Delivery Date − Estimated Delivery Date and compare delay across review-score groups.</w:t>
      </w:r>
    </w:p>
    <w:p>
      <w:r>
        <w:rPr>
          <w:b/>
        </w:rPr>
        <w:t xml:space="preserve">Priority 3 — Freight Burden Ratio: </w:t>
      </w:r>
      <w:r>
        <w:t>Calculate Freight Value / Product Price and compare burden by category and geography.</w:t>
      </w:r>
    </w:p>
    <w:p>
      <w:r>
        <w:rPr>
          <w:b/>
        </w:rPr>
        <w:t xml:space="preserve">Priority 4 — One-Star vs Five-Star Comparison: </w:t>
      </w:r>
      <w:r>
        <w:t>Compare delivery duration, delivery delay, freight, product category, seller, and order status.</w:t>
      </w:r>
    </w:p>
    <w:p>
      <w:r>
        <w:rPr>
          <w:b/>
        </w:rPr>
        <w:t xml:space="preserve">Priority 5 — Sales Value vs Sales Volume by Category: </w:t>
      </w:r>
      <w:r>
        <w:t>Separate high-ticket categories from high-volume categories.</w:t>
      </w:r>
    </w:p>
    <w:p>
      <w:r>
        <w:rPr>
          <w:b/>
        </w:rPr>
        <w:t xml:space="preserve">Priority 6 — Average Payment Value by Payment Method: </w:t>
      </w:r>
      <w:r>
        <w:t>Calculate total payment value divided by payment frequency to distinguish payment popularity from transaction size.</w:t>
      </w:r>
    </w:p>
    <w:p>
      <w:r>
        <w:rPr>
          <w:b/>
        </w:rPr>
        <w:t xml:space="preserve">Priority 7 — Non-Delivered Order Analysis: </w:t>
      </w:r>
      <w:r>
        <w:t>Analyze canceled, unavailable, shipped, and other non-delivered statuses separately from the dominant delivered population.</w:t>
      </w:r>
    </w:p>
    <w:p>
      <w:pPr>
        <w:pStyle w:val="Heading1"/>
      </w:pPr>
      <w:r>
        <w:t>Conclusion</w:t>
      </w:r>
    </w:p>
    <w:p>
      <w:r>
        <w:t>The strongest business story emerging from the current EDA is that the marketplace achieved substantial sales growth, depends heavily on a small group of leading categories and on credit-card payments, maintains generally high customer satisfaction, but contains meaningful pockets of severe dissatisfaction and long-tail logistics risk.</w:t>
      </w:r>
    </w:p>
    <w:p>
      <w:r>
        <w:t>The next analytical objective should be to test whether delivery and logistics performance are materially associated with customer dissatisfaction. This transition—from describing distributions to identifying relationships and potential drivers—is the next step toward actionable business analysis.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Sales Performance Analytics | Phase 10 — EDA Findings Extraction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