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Mechanics</w:t>
      </w:r>
    </w:p>
    <w:p>
      <w:r>
        <w:t>Newton's second law states that the net force on an object equals its mass multiplied by its acceleration, F = m a. The SI unit of force is the newton.</w:t>
      </w:r>
    </w:p>
    <w:p>
      <w:r>
        <w:t>Kinetic energy of a moving body is one half of mass times velocity squared. Potential energy near Earth's surface equals mass times g times height, where g is about 9.8 metres per second squared.</w:t>
      </w:r>
    </w:p>
    <w:p>
      <w:pPr>
        <w:pStyle w:val="Heading1"/>
      </w:pPr>
      <w:r>
        <w:t>Optics</w:t>
      </w:r>
    </w:p>
    <w:p>
      <w:r>
        <w:t>Snell's law relates the angles of incidence and refraction: n1 sin theta1 equals n2 sin theta2. Total internal reflection occurs when light travels from a denser to a rarer medium beyond the critical angle.</w:t>
      </w:r>
    </w:p>
    <w:p>
      <w:r>
        <w:t>A convex lens converges parallel light rays to a focus. The focal length is the distance between the lens and its focal 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