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WareTrack salīdzinājums ar konkurentiem</w:t>
      </w:r>
    </w:p>
    <w:p>
      <w:pPr>
        <w:jc w:val="center"/>
      </w:pPr>
      <w:r>
        <w:rPr>
          <w:i/>
          <w:sz w:val="21"/>
        </w:rPr>
        <w:t>Vienkāršs noliktavas vadības sistēmu salīdzinājums</w:t>
      </w:r>
    </w:p>
    <w:tbl>
      <w:tblPr>
        <w:tblStyle w:val="TableGrid"/>
        <w:tblW w:type="auto" w:w="0"/>
        <w:jc w:val="center"/>
        <w:tblLook w:firstColumn="1" w:firstRow="1" w:lastColumn="0" w:lastRow="0" w:noHBand="0" w:noVBand="1" w:val="04A0"/>
      </w:tblPr>
      <w:tblGrid>
        <w:gridCol w:w="2062"/>
        <w:gridCol w:w="2062"/>
        <w:gridCol w:w="2062"/>
        <w:gridCol w:w="2062"/>
        <w:gridCol w:w="2062"/>
      </w:tblGrid>
      <w:tr>
        <w:tc>
          <w:tcPr>
            <w:tcW w:type="dxa" w:w="1701"/>
            <w:vAlign w:val="center"/>
          </w:tcPr>
          <w:p>
            <w:r>
              <w:rPr>
                <w:b/>
                <w:sz w:val="19"/>
              </w:rPr>
              <w:t>Sistēma</w:t>
            </w:r>
          </w:p>
        </w:tc>
        <w:tc>
          <w:tcPr>
            <w:tcW w:type="dxa" w:w="4082"/>
            <w:vAlign w:val="center"/>
          </w:tcPr>
          <w:p>
            <w:r>
              <w:rPr>
                <w:b/>
                <w:sz w:val="19"/>
              </w:rPr>
              <w:t>Ko tā piedāvā</w:t>
            </w:r>
          </w:p>
        </w:tc>
        <w:tc>
          <w:tcPr>
            <w:tcW w:type="dxa" w:w="1757"/>
            <w:vAlign w:val="center"/>
          </w:tcPr>
          <w:p>
            <w:r>
              <w:rPr>
                <w:b/>
                <w:sz w:val="19"/>
              </w:rPr>
              <w:t>Lietošanas ērtums</w:t>
            </w:r>
          </w:p>
        </w:tc>
        <w:tc>
          <w:tcPr>
            <w:tcW w:type="dxa" w:w="1531"/>
            <w:vAlign w:val="center"/>
          </w:tcPr>
          <w:p>
            <w:r>
              <w:rPr>
                <w:b/>
                <w:sz w:val="19"/>
              </w:rPr>
              <w:t>Cena</w:t>
            </w:r>
          </w:p>
        </w:tc>
        <w:tc>
          <w:tcPr>
            <w:tcW w:type="dxa" w:w="2381"/>
            <w:vAlign w:val="center"/>
          </w:tcPr>
          <w:p>
            <w:r>
              <w:rPr>
                <w:b/>
                <w:sz w:val="19"/>
              </w:rPr>
              <w:t>Kam piemērota</w:t>
            </w:r>
          </w:p>
        </w:tc>
      </w:tr>
      <w:tr>
        <w:tc>
          <w:tcPr>
            <w:tcW w:type="dxa" w:w="1701"/>
            <w:vAlign w:val="center"/>
          </w:tcPr>
          <w:p>
            <w:r>
              <w:rPr>
                <w:sz w:val="18"/>
              </w:rPr>
              <w:t>WareTrack</w:t>
            </w:r>
          </w:p>
        </w:tc>
        <w:tc>
          <w:tcPr>
            <w:tcW w:type="dxa" w:w="4082"/>
            <w:vAlign w:val="center"/>
          </w:tcPr>
          <w:p>
            <w:r>
              <w:rPr>
                <w:sz w:val="18"/>
              </w:rPr>
              <w:t>Preces, atlikumi, preču saņemšana un izsniegšana, meklēšana, kustības vēsture</w:t>
            </w:r>
          </w:p>
        </w:tc>
        <w:tc>
          <w:tcPr>
            <w:tcW w:type="dxa" w:w="1757"/>
            <w:vAlign w:val="center"/>
          </w:tcPr>
          <w:p>
            <w:r>
              <w:rPr>
                <w:sz w:val="18"/>
              </w:rPr>
              <w:t>Vienkārša</w:t>
            </w:r>
          </w:p>
        </w:tc>
        <w:tc>
          <w:tcPr>
            <w:tcW w:type="dxa" w:w="1531"/>
            <w:vAlign w:val="center"/>
          </w:tcPr>
          <w:p>
            <w:r>
              <w:rPr>
                <w:sz w:val="18"/>
              </w:rPr>
              <w:t>Zema / bezmaksas</w:t>
            </w:r>
          </w:p>
        </w:tc>
        <w:tc>
          <w:tcPr>
            <w:tcW w:type="dxa" w:w="2381"/>
            <w:vAlign w:val="center"/>
          </w:tcPr>
          <w:p>
            <w:r>
              <w:rPr>
                <w:sz w:val="18"/>
              </w:rPr>
              <w:t>Maziem uzņēmumiem un noliktavām</w:t>
            </w:r>
          </w:p>
        </w:tc>
      </w:tr>
      <w:tr>
        <w:tc>
          <w:tcPr>
            <w:tcW w:type="dxa" w:w="1701"/>
            <w:vAlign w:val="center"/>
          </w:tcPr>
          <w:p>
            <w:r>
              <w:rPr>
                <w:sz w:val="18"/>
              </w:rPr>
              <w:t>Odoo Inventory</w:t>
            </w:r>
          </w:p>
        </w:tc>
        <w:tc>
          <w:tcPr>
            <w:tcW w:type="dxa" w:w="4082"/>
            <w:vAlign w:val="center"/>
          </w:tcPr>
          <w:p>
            <w:r>
              <w:rPr>
                <w:sz w:val="18"/>
              </w:rPr>
              <w:t>Noliktava, iepirkumi, pārdošana, atskaites un integrācijas</w:t>
            </w:r>
          </w:p>
        </w:tc>
        <w:tc>
          <w:tcPr>
            <w:tcW w:type="dxa" w:w="1757"/>
            <w:vAlign w:val="center"/>
          </w:tcPr>
          <w:p>
            <w:r>
              <w:rPr>
                <w:sz w:val="18"/>
              </w:rPr>
              <w:t>Vidēja</w:t>
            </w:r>
          </w:p>
        </w:tc>
        <w:tc>
          <w:tcPr>
            <w:tcW w:type="dxa" w:w="1531"/>
            <w:vAlign w:val="center"/>
          </w:tcPr>
          <w:p>
            <w:r>
              <w:rPr>
                <w:sz w:val="18"/>
              </w:rPr>
              <w:t>Maksas</w:t>
            </w:r>
          </w:p>
        </w:tc>
        <w:tc>
          <w:tcPr>
            <w:tcW w:type="dxa" w:w="2381"/>
            <w:vAlign w:val="center"/>
          </w:tcPr>
          <w:p>
            <w:r>
              <w:rPr>
                <w:sz w:val="18"/>
              </w:rPr>
              <w:t>Maziem un vidējiem uzņēmumiem</w:t>
            </w:r>
          </w:p>
        </w:tc>
      </w:tr>
      <w:tr>
        <w:tc>
          <w:tcPr>
            <w:tcW w:type="dxa" w:w="1701"/>
            <w:vAlign w:val="center"/>
          </w:tcPr>
          <w:p>
            <w:r>
              <w:rPr>
                <w:sz w:val="18"/>
              </w:rPr>
              <w:t>Zoho Inventory</w:t>
            </w:r>
          </w:p>
        </w:tc>
        <w:tc>
          <w:tcPr>
            <w:tcW w:type="dxa" w:w="4082"/>
            <w:vAlign w:val="center"/>
          </w:tcPr>
          <w:p>
            <w:r>
              <w:rPr>
                <w:sz w:val="18"/>
              </w:rPr>
              <w:t>Noliktava, pasūtījumi, pārdošana un integrācijas</w:t>
            </w:r>
          </w:p>
        </w:tc>
        <w:tc>
          <w:tcPr>
            <w:tcW w:type="dxa" w:w="1757"/>
            <w:vAlign w:val="center"/>
          </w:tcPr>
          <w:p>
            <w:r>
              <w:rPr>
                <w:sz w:val="18"/>
              </w:rPr>
              <w:t>Vidēja</w:t>
            </w:r>
          </w:p>
        </w:tc>
        <w:tc>
          <w:tcPr>
            <w:tcW w:type="dxa" w:w="1531"/>
            <w:vAlign w:val="center"/>
          </w:tcPr>
          <w:p>
            <w:r>
              <w:rPr>
                <w:sz w:val="18"/>
              </w:rPr>
              <w:t>Maksas</w:t>
            </w:r>
          </w:p>
        </w:tc>
        <w:tc>
          <w:tcPr>
            <w:tcW w:type="dxa" w:w="2381"/>
            <w:vAlign w:val="center"/>
          </w:tcPr>
          <w:p>
            <w:r>
              <w:rPr>
                <w:sz w:val="18"/>
              </w:rPr>
              <w:t>E-veikaliem un uzņēmumiem</w:t>
            </w:r>
          </w:p>
        </w:tc>
      </w:tr>
      <w:tr>
        <w:tc>
          <w:tcPr>
            <w:tcW w:type="dxa" w:w="1701"/>
            <w:vAlign w:val="center"/>
          </w:tcPr>
          <w:p>
            <w:r>
              <w:rPr>
                <w:sz w:val="18"/>
              </w:rPr>
              <w:t>inFlow Inventory</w:t>
            </w:r>
          </w:p>
        </w:tc>
        <w:tc>
          <w:tcPr>
            <w:tcW w:type="dxa" w:w="4082"/>
            <w:vAlign w:val="center"/>
          </w:tcPr>
          <w:p>
            <w:r>
              <w:rPr>
                <w:sz w:val="18"/>
              </w:rPr>
              <w:t>Preces, noliktava, pasūtījumi un svītrkodi</w:t>
            </w:r>
          </w:p>
        </w:tc>
        <w:tc>
          <w:tcPr>
            <w:tcW w:type="dxa" w:w="1757"/>
            <w:vAlign w:val="center"/>
          </w:tcPr>
          <w:p>
            <w:r>
              <w:rPr>
                <w:sz w:val="18"/>
              </w:rPr>
              <w:t>Vienkārša</w:t>
            </w:r>
          </w:p>
        </w:tc>
        <w:tc>
          <w:tcPr>
            <w:tcW w:type="dxa" w:w="1531"/>
            <w:vAlign w:val="center"/>
          </w:tcPr>
          <w:p>
            <w:r>
              <w:rPr>
                <w:sz w:val="18"/>
              </w:rPr>
              <w:t>Maksas</w:t>
            </w:r>
          </w:p>
        </w:tc>
        <w:tc>
          <w:tcPr>
            <w:tcW w:type="dxa" w:w="2381"/>
            <w:vAlign w:val="center"/>
          </w:tcPr>
          <w:p>
            <w:r>
              <w:rPr>
                <w:sz w:val="18"/>
              </w:rPr>
              <w:t>Maziem un vidējiem uzņēmumiem</w:t>
            </w:r>
          </w:p>
        </w:tc>
      </w:tr>
    </w:tbl>
    <w:p/>
    <w:p>
      <w:r>
        <w:rPr>
          <w:b/>
          <w:sz w:val="24"/>
        </w:rPr>
        <w:t>Secinājums</w:t>
      </w:r>
    </w:p>
    <w:p>
      <w:pPr>
        <w:spacing w:after="0"/>
      </w:pPr>
      <w:r>
        <w:t>WareTrack galvenā priekšrocība ir vienkāršība. Lietotājs var ātri pievienot preces, apskatīt atlikumus, atrast vajadzīgo pozīciju un sekot preču kustībai. Konkurentu sistēmās ir vairāk funkciju un integrāciju, taču tās bieži ir sarežģītākas un dārgākas. Tāpēc WareTrack ir piemērots mazākām noliktavām un uzņēmumiem, kuriem vajadzīga saprotama sistēma bez liekām funkcijām.</w:t>
      </w:r>
    </w:p>
    <w:sectPr w:rsidR="00FC693F" w:rsidRPr="0006063C" w:rsidSect="00034616">
      <w:pgSz w:w="12240" w:h="15840"/>
      <w:pgMar w:top="964" w:right="964" w:bottom="96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