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Request for legal review</w:t>
      </w:r>
    </w:p>
    <w:p>
      <w:pPr>
        <w:spacing w:after="120"/>
      </w:pPr>
      <w:r>
        <w:rPr>
          <w:color w:val="595959"/>
          <w:sz w:val="26"/>
          <w:szCs w:val="26"/>
        </w:rPr>
        <w:t xml:space="preserve">Student research project, Indian Contract Act, 1872</w:t>
      </w:r>
    </w:p>
    <w:p>
      <w:pPr>
        <w:spacing w:after="120"/>
      </w:pPr>
      <w:r>
        <w:rPr>
          <w:b/>
          <w:bCs/>
        </w:rPr>
        <w:t xml:space="preserve">From:</w:t>
      </w:r>
      <w:r>
        <w:t xml:space="preserve"> Avnish Uba, Team ClosedAI (IIIT Hyderabad, LMA course project)</w:t>
      </w:r>
    </w:p>
    <w:p>
      <w:pPr>
        <w:spacing w:after="120"/>
      </w:pPr>
      <w:r>
        <w:rPr>
          <w:b/>
          <w:bCs/>
        </w:rPr>
        <w:t xml:space="preserve">Contact:</w:t>
      </w:r>
      <w:r>
        <w:t xml:space="preserve"> avnish.uba@research.iiit.ac.in</w:t>
      </w:r>
    </w:p>
    <w:p>
      <w:pPr>
        <w:pStyle w:val="Heading1"/>
      </w:pPr>
      <w:r>
        <w:t xml:space="preserve">What the project is</w:t>
      </w:r>
    </w:p>
    <w:p>
      <w:pPr>
        <w:spacing w:after="120"/>
      </w:pPr>
      <w:r>
        <w:t xml:space="preserve">We are testing whether computer systems can spot clauses in </w:t>
      </w:r>
      <w:r>
        <w:rPr>
          <w:b/>
          <w:bCs/>
        </w:rPr>
        <w:t xml:space="preserve">Indian commercial leases</w:t>
      </w:r>
      <w:r>
        <w:t xml:space="preserve"> that are void under the </w:t>
      </w:r>
      <w:r>
        <w:rPr>
          <w:b/>
          <w:bCs/>
        </w:rPr>
        <w:t xml:space="preserve">Indian Contract Act, 1872</w:t>
      </w:r>
      <w:r>
        <w:t xml:space="preserve">. We focus on two sections:</w:t>
      </w:r>
    </w:p>
    <w:p>
      <w:pPr>
        <w:pStyle w:val="ListParagraph"/>
        <w:numPr>
          <w:ilvl w:val="0"/>
          <w:numId w:val="2"/>
        </w:numPr>
        <w:spacing w:after="60"/>
      </w:pPr>
      <w:r>
        <w:rPr>
          <w:b/>
          <w:bCs/>
        </w:rPr>
        <w:t xml:space="preserve">Section 27:</w:t>
      </w:r>
      <w:r>
        <w:t xml:space="preserve"> agreements in restraint of trade</w:t>
      </w:r>
    </w:p>
    <w:p>
      <w:pPr>
        <w:pStyle w:val="ListParagraph"/>
        <w:numPr>
          <w:ilvl w:val="0"/>
          <w:numId w:val="2"/>
        </w:numPr>
        <w:spacing w:after="60"/>
      </w:pPr>
      <w:r>
        <w:rPr>
          <w:b/>
          <w:bCs/>
        </w:rPr>
        <w:t xml:space="preserve">Section 28:</w:t>
      </w:r>
      <w:r>
        <w:t xml:space="preserve"> agreements in restraint of legal proceedings</w:t>
      </w:r>
    </w:p>
    <w:p>
      <w:pPr>
        <w:spacing w:after="120"/>
      </w:pPr>
      <w:r>
        <w:t xml:space="preserve">We write test clauses into real lease deeds, then check whether the systems get them right. </w:t>
      </w:r>
      <w:r>
        <w:rPr>
          <w:b/>
          <w:bCs/>
        </w:rPr>
        <w:t xml:space="preserve">We need someone with legal training to give the correct answer for each clause.</w:t>
      </w:r>
      <w:r>
        <w:t xml:space="preserve"> We are students, not lawyers, and we do not want to grade a system against wrong answers.</w:t>
      </w:r>
    </w:p>
    <w:p>
      <w:pPr>
        <w:spacing w:after="120"/>
      </w:pPr>
      <w:r>
        <w:rPr>
          <w:b/>
          <w:bCs/>
        </w:rPr>
        <w:t xml:space="preserve">You will see the clauses without our answers.</w:t>
      </w:r>
      <w:r>
        <w:t xml:space="preserve"> We write down our own answers separately and compare them with yours afterwards. That way your answers are independent, and where we disagree, yours decide.</w:t>
      </w:r>
    </w:p>
    <w:p>
      <w:pPr>
        <w:spacing w:after="120"/>
      </w:pPr>
      <w:r>
        <w:t xml:space="preserve">This is academic work only. Nothing you tell us will be used as legal advice to anyone.</w:t>
      </w:r>
    </w:p>
    <w:p>
      <w:pPr>
        <w:pStyle w:val="Heading1"/>
      </w:pPr>
      <w:r>
        <w:t xml:space="preserve">What we are asking for: about 15 hours over two weeks</w:t>
      </w:r>
    </w:p>
    <w:p>
      <w:pPr>
        <w:spacing w:after="120"/>
      </w:pPr>
      <w:r>
        <w:t xml:space="preserve">Most of this is labelling clauses in your own time, in batches. There are only two short meetings.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3626"/>
        <w:gridCol w:w="1800"/>
      </w:tblGrid>
      <w:tr>
        <w:trPr>
          <w:tblHeader/>
        </w:trPr>
        <w:tc>
          <w:tcPr>
            <w:tcW w:type="dxa" w:w="36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r>
              <w:rPr>
                <w:b/>
                <w:bCs/>
              </w:rPr>
              <w:t xml:space="preserve">Part</w:t>
            </w:r>
          </w:p>
        </w:tc>
        <w:tc>
          <w:tcPr>
            <w:tcW w:type="dxa" w:w="3626"/>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r>
              <w:rPr>
                <w:b/>
                <w:bCs/>
              </w:rPr>
              <w:t xml:space="preserve">When</w:t>
            </w:r>
          </w:p>
        </w:tc>
        <w:tc>
          <w:tcPr>
            <w:tcW w:type="dxa" w:w="18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r>
              <w:rPr>
                <w:b/>
                <w:bCs/>
              </w:rPr>
              <w:t xml:space="preserve">Your time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Session 1: meeting</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Tue 27 or Wed 28 October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1.5 hours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Batch A: 60 practice clauses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Sent Thu 29 Oct, back by Mon 2 Nov</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2 hours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Batch B: 340 test clauses</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Sent in batches of about 50 from Sat 31 Oct, back by Thu 5 Nov</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11 hours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Session 2: meeting</w:t>
            </w:r>
          </w:p>
        </w:tc>
        <w:tc>
          <w:tcPr>
            <w:tcW w:type="dxa" w:w="3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Thu 5 November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about 1 hour</w:t>
            </w:r>
          </w:p>
        </w:tc>
      </w:tr>
    </w:tbl>
    <w:p>
      <w:pPr>
        <w:spacing w:after="60"/>
      </w:pPr>
    </w:p>
    <w:p>
      <w:pPr>
        <w:spacing w:after="120"/>
      </w:pPr>
      <w:r>
        <w:rPr>
          <w:b/>
          <w:bCs/>
        </w:rPr>
        <w:t xml:space="preserve">If that is too much</w:t>
      </w:r>
      <w:r>
        <w:t xml:space="preserve">, the minimum we need is Session 1, a sample of 40 test clauses, and the clauses where your answer differs from ours (about 4 hours in total). Our own team then labels the rest.</w:t>
      </w:r>
    </w:p>
    <w:p>
      <w:pPr>
        <w:pStyle w:val="Heading2"/>
      </w:pPr>
      <w:r>
        <w:t xml:space="preserve">Session 1: about 1.5 hours, Tuesday 27 or Wednesday 28 October</w:t>
      </w:r>
    </w:p>
    <w:p>
      <w:pPr>
        <w:spacing w:after="120"/>
      </w:pPr>
      <w:r>
        <w:t xml:space="preserve">We will send you everything below two days before.</w:t>
      </w:r>
    </w:p>
    <w:p>
      <w:pPr>
        <w:pStyle w:val="ListParagraph"/>
        <w:numPr>
          <w:ilvl w:val="0"/>
          <w:numId w:val="3"/>
        </w:numPr>
        <w:spacing w:before="120" w:after="60"/>
      </w:pPr>
      <w:r>
        <w:rPr>
          <w:b/>
          <w:bCs/>
        </w:rPr>
        <w:t xml:space="preserve">The three kinds of clause we test.</w:t>
      </w:r>
      <w:r>
        <w:t xml:space="preserve"> Please confirm these are the right three, and that our examples are correct:</w:t>
      </w:r>
    </w:p>
    <w:p>
      <w:pPr>
        <w:pStyle w:val="ListParagraph"/>
        <w:numPr>
          <w:ilvl w:val="0"/>
          <w:numId w:val="2"/>
        </w:numPr>
        <w:spacing w:after="60"/>
      </w:pPr>
      <w:r>
        <w:rPr>
          <w:b/>
          <w:bCs/>
        </w:rPr>
        <w:t xml:space="preserve">Restraint of trade (s.27).</w:t>
      </w:r>
      <w:r>
        <w:t xml:space="preserve"> Example: “The tenant shall not run a similar business within 5 km for 3 years after the lease ends.”</w:t>
      </w:r>
    </w:p>
    <w:p>
      <w:pPr>
        <w:pStyle w:val="ListParagraph"/>
        <w:numPr>
          <w:ilvl w:val="0"/>
          <w:numId w:val="2"/>
        </w:numPr>
        <w:spacing w:after="60"/>
      </w:pPr>
      <w:r>
        <w:rPr>
          <w:b/>
          <w:bCs/>
        </w:rPr>
        <w:t xml:space="preserve">Absolute bar on going to court (s.28(a), first part).</w:t>
      </w:r>
      <w:r>
        <w:t xml:space="preserve"> Example: “The landlord’s decision on any dispute is final and cannot be challenged in any court.”</w:t>
      </w:r>
    </w:p>
    <w:p>
      <w:pPr>
        <w:pStyle w:val="ListParagraph"/>
        <w:numPr>
          <w:ilvl w:val="0"/>
          <w:numId w:val="2"/>
        </w:numPr>
        <w:spacing w:after="60"/>
      </w:pPr>
      <w:r>
        <w:rPr>
          <w:b/>
          <w:bCs/>
        </w:rPr>
        <w:t xml:space="preserve">Time limits that cut off claims (s.28(a) second part, and s.28(b)).</w:t>
      </w:r>
      <w:r>
        <w:t xml:space="preserve"> Example: “Any claim by the tenant is barred unless a suit is filed within 3 months.”</w:t>
      </w:r>
    </w:p>
    <w:p>
      <w:pPr>
        <w:spacing w:after="120"/>
        <w:ind w:left="360"/>
      </w:pPr>
      <w:r>
        <w:t xml:space="preserve">Please also confirm these look-alikes are </w:t>
      </w:r>
      <w:r>
        <w:rPr>
          <w:b/>
          <w:bCs/>
        </w:rPr>
        <w:t xml:space="preserve">valid</w:t>
      </w:r>
      <w:r>
        <w:t xml:space="preserve">:</w:t>
      </w:r>
    </w:p>
    <w:p>
      <w:pPr>
        <w:pStyle w:val="ListParagraph"/>
        <w:numPr>
          <w:ilvl w:val="0"/>
          <w:numId w:val="2"/>
        </w:numPr>
        <w:spacing w:after="60"/>
      </w:pPr>
      <w:r>
        <w:t xml:space="preserve">“During the lease, the tenant shall use the premises only as an office.” (limits use of the premises during the term only)</w:t>
      </w:r>
    </w:p>
    <w:p>
      <w:pPr>
        <w:pStyle w:val="ListParagraph"/>
        <w:numPr>
          <w:ilvl w:val="0"/>
          <w:numId w:val="2"/>
        </w:numPr>
        <w:spacing w:after="60"/>
      </w:pPr>
      <w:r>
        <w:t xml:space="preserve">“Any dispute shall be referred to arbitration under the Arbitration and Conciliation Act, 1996.” (Exception 1 to s.28)</w:t>
      </w:r>
    </w:p>
    <w:p>
      <w:pPr>
        <w:pStyle w:val="ListParagraph"/>
        <w:numPr>
          <w:ilvl w:val="0"/>
          <w:numId w:val="2"/>
        </w:numPr>
        <w:spacing w:after="60"/>
      </w:pPr>
      <w:r>
        <w:t xml:space="preserve">“The tenant shall notify the landlord of any defect within 30 days.” (a step under the contract, not a time limit on going to court)</w:t>
      </w:r>
    </w:p>
    <w:p>
      <w:pPr>
        <w:pStyle w:val="ListParagraph"/>
        <w:numPr>
          <w:ilvl w:val="0"/>
          <w:numId w:val="3"/>
        </w:numPr>
        <w:spacing w:before="120" w:after="60"/>
      </w:pPr>
      <w:r>
        <w:rPr>
          <w:b/>
          <w:bCs/>
        </w:rPr>
        <w:t xml:space="preserve">Our checklist and rules for each kind</w:t>
      </w:r>
      <w:r>
        <w:t xml:space="preserve"> (in the attachment at the end). Please mark anything that is wrong, and answer the two questions in it.</w:t>
      </w:r>
    </w:p>
    <w:p>
      <w:pPr>
        <w:pStyle w:val="ListParagraph"/>
        <w:numPr>
          <w:ilvl w:val="0"/>
          <w:numId w:val="3"/>
        </w:numPr>
        <w:spacing w:before="120" w:after="60"/>
      </w:pPr>
      <w:r>
        <w:rPr>
          <w:b/>
          <w:bCs/>
        </w:rPr>
        <w:t xml:space="preserve">20 pilot clauses</w:t>
      </w:r>
      <w:r>
        <w:t xml:space="preserve"> written into five real lease deeds. For each one, please give your answer (void, valid or refer) and the section or exception that decides it. Some are void and some only look similar but are valid; we do not say which.</w:t>
      </w:r>
    </w:p>
    <w:p>
      <w:pPr>
        <w:pStyle w:val="ListParagraph"/>
        <w:numPr>
          <w:ilvl w:val="0"/>
          <w:numId w:val="3"/>
        </w:numPr>
        <w:spacing w:before="120" w:after="60"/>
      </w:pPr>
      <w:r>
        <w:rPr>
          <w:b/>
          <w:bCs/>
        </w:rPr>
        <w:t xml:space="preserve">Leading judgments.</w:t>
      </w:r>
      <w:r>
        <w:t xml:space="preserve"> Please suggest 15–20 leading judgments on Sections 27 and 28 that a careful reader should know. A list of names and citations is enough.</w:t>
      </w:r>
    </w:p>
    <w:p>
      <w:pPr>
        <w:pStyle w:val="Heading2"/>
      </w:pPr>
      <w:r>
        <w:t xml:space="preserve">Batches A and B: in your own time</w:t>
      </w:r>
    </w:p>
    <w:p>
      <w:pPr>
        <w:pStyle w:val="ListParagraph"/>
        <w:numPr>
          <w:ilvl w:val="0"/>
          <w:numId w:val="3"/>
        </w:numPr>
        <w:spacing w:before="120" w:after="60"/>
      </w:pPr>
      <w:r>
        <w:rPr>
          <w:b/>
          <w:bCs/>
        </w:rPr>
        <w:t xml:space="preserve">Batch A, 60 practice clauses.</w:t>
      </w:r>
      <w:r>
        <w:t xml:space="preserve"> The same task as item 3. We use these to build and tune our system, so they matter less than Batch B, but correct answers still help.</w:t>
      </w:r>
    </w:p>
    <w:p>
      <w:pPr>
        <w:pStyle w:val="ListParagraph"/>
        <w:numPr>
          <w:ilvl w:val="0"/>
          <w:numId w:val="3"/>
        </w:numPr>
        <w:spacing w:before="120" w:after="60"/>
      </w:pPr>
      <w:r>
        <w:rPr>
          <w:b/>
          <w:bCs/>
        </w:rPr>
        <w:t xml:space="preserve">Batch B, 340 test clauses.</w:t>
      </w:r>
      <w:r>
        <w:t xml:space="preserve"> The same task. These are the clauses the final results are scored on, so they matter most. We will send them in batches of about 50 as they are ready.</w:t>
      </w:r>
    </w:p>
    <w:p>
      <w:pPr>
        <w:pStyle w:val="Heading2"/>
      </w:pPr>
      <w:r>
        <w:t xml:space="preserve">Session 2: about 1 hour, Thursday 5 November</w:t>
      </w:r>
    </w:p>
    <w:p>
      <w:pPr>
        <w:pStyle w:val="ListParagraph"/>
        <w:numPr>
          <w:ilvl w:val="0"/>
          <w:numId w:val="3"/>
        </w:numPr>
        <w:spacing w:before="120" w:after="60"/>
      </w:pPr>
      <w:r>
        <w:rPr>
          <w:b/>
          <w:bCs/>
        </w:rPr>
        <w:t xml:space="preserve">Where your answer differs from ours.</w:t>
      </w:r>
      <w:r>
        <w:t xml:space="preserve"> We go through each one together. Your answer becomes the final one unless you agree ours is right.</w:t>
      </w:r>
    </w:p>
    <w:p>
      <w:pPr>
        <w:pStyle w:val="ListParagraph"/>
        <w:numPr>
          <w:ilvl w:val="0"/>
          <w:numId w:val="3"/>
        </w:numPr>
        <w:spacing w:before="120" w:after="60"/>
      </w:pPr>
      <w:r>
        <w:rPr>
          <w:b/>
          <w:bCs/>
        </w:rPr>
        <w:t xml:space="preserve">Our summaries of the judgments.</w:t>
      </w:r>
      <w:r>
        <w:t xml:space="preserve"> For each judgment you suggested, we will send a one-line summary: which section (and which part of it) it interprets, and what it held. Please mark any that are wrong.</w:t>
      </w:r>
    </w:p>
    <w:p>
      <w:pPr>
        <w:spacing w:before="160" w:after="120"/>
      </w:pPr>
      <w:r>
        <w:rPr>
          <w:b/>
          <w:bCs/>
        </w:rPr>
        <w:t xml:space="preserve">Why the dates matter:</w:t>
      </w:r>
      <w:r>
        <w:t xml:space="preserve"> our test set is fixed on </w:t>
      </w:r>
      <w:r>
        <w:rPr>
          <w:b/>
          <w:bCs/>
        </w:rPr>
        <w:t xml:space="preserve">Friday 6 November</w:t>
      </w:r>
      <w:r>
        <w:t xml:space="preserve">, and nothing changes after that, so Batch B and Session 2 have to be finished before then.</w:t>
      </w:r>
    </w:p>
    <w:p>
      <w:pPr>
        <w:pStyle w:val="Heading1"/>
      </w:pPr>
      <w:r>
        <w:t xml:space="preserve">What we will give you</w:t>
      </w:r>
    </w:p>
    <w:p>
      <w:pPr>
        <w:pStyle w:val="ListParagraph"/>
        <w:numPr>
          <w:ilvl w:val="0"/>
          <w:numId w:val="2"/>
        </w:numPr>
        <w:spacing w:after="60"/>
      </w:pPr>
      <w:r>
        <w:t xml:space="preserve">Each clause on its own, with the lease it comes from and any definitions or other clauses it refers to. </w:t>
      </w:r>
      <w:r>
        <w:rPr>
          <w:b/>
          <w:bCs/>
        </w:rPr>
        <w:t xml:space="preserve">No answers.</w:t>
      </w:r>
    </w:p>
    <w:p>
      <w:pPr>
        <w:pStyle w:val="ListParagraph"/>
        <w:numPr>
          <w:ilvl w:val="0"/>
          <w:numId w:val="2"/>
        </w:numPr>
        <w:spacing w:after="60"/>
      </w:pPr>
      <w:r>
        <w:t xml:space="preserve">A sheet with one row per clause and three columns to fill in: </w:t>
      </w:r>
      <w:r>
        <w:rPr>
          <w:b/>
          <w:bCs/>
        </w:rPr>
        <w:t xml:space="preserve">your answer</w:t>
      </w:r>
      <w:r>
        <w:t xml:space="preserve"> (void / valid / refer), </w:t>
      </w:r>
      <w:r>
        <w:rPr>
          <w:b/>
          <w:bCs/>
        </w:rPr>
        <w:t xml:space="preserve">section or exception</w:t>
      </w:r>
      <w:r>
        <w:t xml:space="preserve">, and an optional </w:t>
      </w:r>
      <w:r>
        <w:rPr>
          <w:b/>
          <w:bCs/>
        </w:rPr>
        <w:t xml:space="preserve">short reason</w:t>
      </w:r>
      <w:r>
        <w:t xml:space="preserve">.</w:t>
      </w:r>
    </w:p>
    <w:p>
      <w:pPr>
        <w:pStyle w:val="Heading1"/>
      </w:pPr>
      <w:r>
        <w:t xml:space="preserve">Credit</w:t>
      </w:r>
    </w:p>
    <w:p>
      <w:pPr>
        <w:spacing w:after="120"/>
      </w:pPr>
      <w:r>
        <w:t xml:space="preserve">With your permission, we will thank you by name in our report. If you would rather stay anonymous, we will only say “a legally trained reviewer”. We will not share your name or contact details anywhere else.</w:t>
      </w:r>
    </w:p>
    <w:p>
      <w:r>
        <w:br w:type="page"/>
      </w:r>
    </w:p>
    <w:p>
      <w:pPr>
        <w:pStyle w:val="Heading1"/>
      </w:pPr>
      <w:r>
        <w:t xml:space="preserve">Attachment: our draft checklist and rules</w:t>
      </w:r>
    </w:p>
    <w:p>
      <w:pPr>
        <w:spacing w:after="120"/>
      </w:pPr>
      <w:r>
        <w:t xml:space="preserve">For each clause we record a few facts, then apply a rule. The possible answers are </w:t>
      </w:r>
      <w:r>
        <w:rPr>
          <w:b/>
          <w:bCs/>
        </w:rPr>
        <w:t xml:space="preserve">void</w:t>
      </w:r>
      <w:r>
        <w:t xml:space="preserve">, </w:t>
      </w:r>
      <w:r>
        <w:rPr>
          <w:b/>
          <w:bCs/>
        </w:rPr>
        <w:t xml:space="preserve">valid</w:t>
      </w:r>
      <w:r>
        <w:t xml:space="preserve">, or </w:t>
      </w:r>
      <w:r>
        <w:rPr>
          <w:b/>
          <w:bCs/>
        </w:rPr>
        <w:t xml:space="preserve">refer to a lawyer</w:t>
      </w:r>
      <w:r>
        <w:t xml:space="preserve">. “Refer” means the clause cannot be decided from the text alone.</w:t>
      </w:r>
    </w:p>
    <w:p>
      <w:pPr>
        <w:pStyle w:val="Heading2"/>
      </w:pPr>
      <w:r>
        <w:t xml:space="preserve">1. Restraint of trade (Section 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r>
              <w:rPr>
                <w:b/>
                <w:bCs/>
              </w:rPr>
              <w:t xml:space="preserve">Fact we record</w:t>
            </w:r>
          </w:p>
        </w:tc>
        <w:tc>
          <w:tcPr>
            <w:tcW w:type="dxa" w:w="5626"/>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r>
              <w:rPr>
                <w:b/>
                <w:bCs/>
              </w:rPr>
              <w:t xml:space="preserve">Possible answers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Who is restrained</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tenant / landlord / both</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Restrained from what</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any trade or business / only how the premises are used</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When</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during the lease only / after the lease ends / both</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Starting when, and for how long</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e.g. “3 years from expiry”. This may come from a definition elsewhere in the lease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 goodwill being sold?</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 / no (Exception 1)</w:t>
            </w:r>
          </w:p>
        </w:tc>
      </w:tr>
    </w:tbl>
    <w:p>
      <w:pPr>
        <w:spacing w:after="60"/>
      </w:pPr>
    </w:p>
    <w:p>
      <w:pPr>
        <w:spacing w:after="120"/>
      </w:pPr>
      <w:r>
        <w:rPr>
          <w:b/>
          <w:bCs/>
        </w:rPr>
        <w:t xml:space="preserve">Our rule:</w:t>
      </w:r>
    </w:p>
    <w:p>
      <w:pPr>
        <w:pStyle w:val="ListParagraph"/>
        <w:numPr>
          <w:ilvl w:val="0"/>
          <w:numId w:val="2"/>
        </w:numPr>
        <w:spacing w:after="60"/>
      </w:pPr>
      <w:r>
        <w:rPr>
          <w:b/>
          <w:bCs/>
        </w:rPr>
        <w:t xml:space="preserve">Void</w:t>
      </w:r>
      <w:r>
        <w:t xml:space="preserve"> if it restrains a trade or business after the lease ends and no goodwill is sold.</w:t>
      </w:r>
    </w:p>
    <w:p>
      <w:pPr>
        <w:pStyle w:val="ListParagraph"/>
        <w:numPr>
          <w:ilvl w:val="0"/>
          <w:numId w:val="2"/>
        </w:numPr>
        <w:spacing w:after="60"/>
      </w:pPr>
      <w:r>
        <w:rPr>
          <w:b/>
          <w:bCs/>
        </w:rPr>
        <w:t xml:space="preserve">Valid</w:t>
      </w:r>
      <w:r>
        <w:t xml:space="preserve"> if it only limits how the premises are used during the lease.</w:t>
      </w:r>
    </w:p>
    <w:p>
      <w:pPr>
        <w:pStyle w:val="ListParagraph"/>
        <w:numPr>
          <w:ilvl w:val="0"/>
          <w:numId w:val="2"/>
        </w:numPr>
        <w:spacing w:after="60"/>
      </w:pPr>
      <w:r>
        <w:rPr>
          <w:b/>
          <w:bCs/>
        </w:rPr>
        <w:t xml:space="preserve">Refer</w:t>
      </w:r>
      <w:r>
        <w:t xml:space="preserve"> if goodwill is sold, because whether the limits are reasonable is for a court.</w:t>
      </w:r>
    </w:p>
    <w:p>
      <w:pPr>
        <w:spacing w:before="120" w:after="160"/>
      </w:pPr>
      <w:r>
        <w:rPr>
          <w:b/>
          <w:bCs/>
        </w:rPr>
        <w:t xml:space="preserve">Question 1:</w:t>
      </w:r>
      <w:r>
        <w:t xml:space="preserve"> what if a clause stops the tenant running a similar business elsewhere, but only during the lease? Is that void, valid, or one to refer?</w:t>
      </w:r>
    </w:p>
    <w:p>
      <w:pPr>
        <w:pStyle w:val="Heading2"/>
      </w:pPr>
      <w:r>
        <w:t xml:space="preserve">2. Absolute bar on going to court (Section 28(a), first 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r>
              <w:rPr>
                <w:b/>
                <w:bCs/>
              </w:rPr>
              <w:t xml:space="preserve">Fact we record</w:t>
            </w:r>
          </w:p>
        </w:tc>
        <w:tc>
          <w:tcPr>
            <w:tcW w:type="dxa" w:w="5626"/>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r>
              <w:rPr>
                <w:b/>
                <w:bCs/>
              </w:rPr>
              <w:t xml:space="preserve">Possible answers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Who is restricted</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tenant / landlord / both</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Which rights</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rights under the lease / other</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How far</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absolute (no forum at all, or one party’s decision is final) / partial (a forum is chosen)</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Alternative forum</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arbitration / one named court / none</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Does the named court already have jurisdiction?</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 / no / cannot tell from the lease</w:t>
            </w:r>
          </w:p>
        </w:tc>
      </w:tr>
    </w:tbl>
    <w:p>
      <w:pPr>
        <w:spacing w:after="60"/>
      </w:pPr>
    </w:p>
    <w:p>
      <w:pPr>
        <w:spacing w:after="120"/>
      </w:pPr>
      <w:r>
        <w:rPr>
          <w:b/>
          <w:bCs/>
        </w:rPr>
        <w:t xml:space="preserve">Our rule:</w:t>
      </w:r>
    </w:p>
    <w:p>
      <w:pPr>
        <w:pStyle w:val="ListParagraph"/>
        <w:numPr>
          <w:ilvl w:val="0"/>
          <w:numId w:val="2"/>
        </w:numPr>
        <w:spacing w:after="60"/>
      </w:pPr>
      <w:r>
        <w:rPr>
          <w:b/>
          <w:bCs/>
        </w:rPr>
        <w:t xml:space="preserve">Void</w:t>
      </w:r>
      <w:r>
        <w:t xml:space="preserve"> if the bar is absolute with no arbitration.</w:t>
      </w:r>
    </w:p>
    <w:p>
      <w:pPr>
        <w:pStyle w:val="ListParagraph"/>
        <w:numPr>
          <w:ilvl w:val="0"/>
          <w:numId w:val="2"/>
        </w:numPr>
        <w:spacing w:after="60"/>
      </w:pPr>
      <w:r>
        <w:rPr>
          <w:b/>
          <w:bCs/>
        </w:rPr>
        <w:t xml:space="preserve">Valid</w:t>
      </w:r>
      <w:r>
        <w:t xml:space="preserve"> if disputes go to arbitration (Exception 1), or if it picks one court that already has jurisdiction.</w:t>
      </w:r>
    </w:p>
    <w:p>
      <w:pPr>
        <w:pStyle w:val="ListParagraph"/>
        <w:numPr>
          <w:ilvl w:val="0"/>
          <w:numId w:val="2"/>
        </w:numPr>
        <w:spacing w:after="60"/>
      </w:pPr>
      <w:r>
        <w:rPr>
          <w:b/>
          <w:bCs/>
        </w:rPr>
        <w:t xml:space="preserve">Refer</w:t>
      </w:r>
      <w:r>
        <w:t xml:space="preserve"> if the lease does not let you tell whether the named court has jurisdiction.</w:t>
      </w:r>
    </w:p>
    <w:p>
      <w:pPr>
        <w:pStyle w:val="Heading2"/>
      </w:pPr>
      <w:r>
        <w:t xml:space="preserve">3. Time limits that cut off claims (Section 28(a) second part, and 28(b))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r>
              <w:rPr>
                <w:b/>
                <w:bCs/>
              </w:rPr>
              <w:t xml:space="preserve">Fact we record</w:t>
            </w:r>
          </w:p>
        </w:tc>
        <w:tc>
          <w:tcPr>
            <w:tcW w:type="dxa" w:w="5626"/>
            <w:tcBorders>
              <w:top w:val="single" w:color="BFBFBF" w:sz="4"/>
              <w:left w:val="single" w:color="BFBFBF" w:sz="4"/>
              <w:bottom w:val="single" w:color="BFBFBF" w:sz="4"/>
              <w:right w:val="single" w:color="BFBFBF" w:sz="4"/>
            </w:tcBorders>
            <w:shd w:fill="E7EEF5" w:color="auto" w:val="clear"/>
            <w:tcMar>
              <w:top w:type="dxa" w:w="60"/>
              <w:left w:type="dxa" w:w="100"/>
              <w:bottom w:type="dxa" w:w="60"/>
              <w:right w:type="dxa" w:w="100"/>
            </w:tcMar>
          </w:tcPr>
          <w:p>
            <w:r>
              <w:rPr>
                <w:b/>
                <w:bCs/>
              </w:rPr>
              <w:t xml:space="preserve">Possible answers</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Who is affected</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tenant / landlord / both</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is limited</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time to go to court or make a claim / time for a step under the contract (notice, cure, payment)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Period and starting point</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e.g. “3 months from the event”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What happens when the time runs out</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claim barred / right extinguished or liability discharged / no effect on going to court</w:t>
            </w:r>
          </w:p>
        </w:tc>
      </w:tr>
      <w:t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Is it a bank guarantee?</w:t>
            </w:r>
          </w:p>
        </w:tc>
        <w:tc>
          <w:tcPr>
            <w:tcW w:type="dxa" w:w="5626"/>
            <w:tcBorders>
              <w:top w:val="single" w:color="BFBFBF" w:sz="4"/>
              <w:left w:val="single" w:color="BFBFBF" w:sz="4"/>
              <w:bottom w:val="single" w:color="BFBFBF" w:sz="4"/>
              <w:right w:val="single" w:color="BFBFBF" w:sz="4"/>
            </w:tcBorders>
            <w:tcMar>
              <w:top w:type="dxa" w:w="60"/>
              <w:left w:type="dxa" w:w="100"/>
              <w:bottom w:type="dxa" w:w="60"/>
              <w:right w:type="dxa" w:w="100"/>
            </w:tcMar>
          </w:tcPr>
          <w:p>
            <w:r>
              <w:t xml:space="preserve">yes / no (Exception 3)</w:t>
            </w:r>
          </w:p>
        </w:tc>
      </w:tr>
    </w:tbl>
    <w:p>
      <w:pPr>
        <w:spacing w:after="60"/>
      </w:pPr>
    </w:p>
    <w:p>
      <w:pPr>
        <w:spacing w:after="120"/>
      </w:pPr>
      <w:r>
        <w:rPr>
          <w:b/>
          <w:bCs/>
        </w:rPr>
        <w:t xml:space="preserve">Our rule:</w:t>
      </w:r>
    </w:p>
    <w:p>
      <w:pPr>
        <w:pStyle w:val="ListParagraph"/>
        <w:numPr>
          <w:ilvl w:val="0"/>
          <w:numId w:val="2"/>
        </w:numPr>
        <w:spacing w:after="60"/>
      </w:pPr>
      <w:r>
        <w:rPr>
          <w:b/>
          <w:bCs/>
        </w:rPr>
        <w:t xml:space="preserve">Void</w:t>
      </w:r>
      <w:r>
        <w:t xml:space="preserve"> if it limits the time to go to court, or extinguishes the right after a period.</w:t>
      </w:r>
    </w:p>
    <w:p>
      <w:pPr>
        <w:pStyle w:val="ListParagraph"/>
        <w:numPr>
          <w:ilvl w:val="0"/>
          <w:numId w:val="2"/>
        </w:numPr>
        <w:spacing w:after="60"/>
      </w:pPr>
      <w:r>
        <w:rPr>
          <w:b/>
          <w:bCs/>
        </w:rPr>
        <w:t xml:space="preserve">Valid</w:t>
      </w:r>
      <w:r>
        <w:t xml:space="preserve"> if the period only governs a step under the contract, like giving notice.</w:t>
      </w:r>
    </w:p>
    <w:p>
      <w:pPr>
        <w:pStyle w:val="ListParagraph"/>
        <w:numPr>
          <w:ilvl w:val="0"/>
          <w:numId w:val="2"/>
        </w:numPr>
        <w:spacing w:after="60"/>
      </w:pPr>
      <w:r>
        <w:rPr>
          <w:b/>
          <w:bCs/>
        </w:rPr>
        <w:t xml:space="preserve">Refer</w:t>
      </w:r>
      <w:r>
        <w:t xml:space="preserve"> if it is a bank guarantee.</w:t>
      </w:r>
    </w:p>
    <w:p>
      <w:pPr>
        <w:spacing w:before="120" w:after="160"/>
      </w:pPr>
      <w:r>
        <w:rPr>
          <w:b/>
          <w:bCs/>
        </w:rPr>
        <w:t xml:space="preserve">Question 2:</w:t>
      </w:r>
      <w:r>
        <w:t xml:space="preserve"> does any contractual period shorter than the statutory limitation period count as void? And what is the limitation period for claims under a commercial lease?</w:t>
      </w:r>
    </w:p>
    <w:p>
      <w:pPr>
        <w:pStyle w:val="Heading2"/>
      </w:pPr>
      <w:r>
        <w:t xml:space="preserve">Outside our scope</w:t>
      </w:r>
    </w:p>
    <w:p>
      <w:pPr>
        <w:spacing w:after="120"/>
      </w:pPr>
      <w:r>
        <w:t xml:space="preserve">We do not decide on stamp duty, registration, rent control, state laws, or whether a penalty is reasonable (Section 74). Clauses on these are marked “refer”.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60"/>
    </w:pPr>
    <w:rPr>
      <w:rFonts w:ascii="Calibri" w:cs="Calibri" w:eastAsia="Calibri" w:hAnsi="Calibri"/>
      <w:b/>
      <w:bCs/>
      <w:color w:val="1F3864"/>
      <w:sz w:val="44"/>
      <w:szCs w:val="44"/>
    </w:rPr>
  </w:style>
  <w:style w:type="paragraph" w:styleId="Heading1">
    <w:name w:val="Heading 1"/>
    <w:basedOn w:val="Normal"/>
    <w:next w:val="Normal"/>
    <w:qFormat/>
    <w:pPr>
      <w:spacing w:before="320" w:after="120"/>
      <w:outlineLvl w:val="0"/>
    </w:pPr>
    <w:rPr>
      <w:rFonts w:ascii="Calibri" w:cs="Calibri" w:eastAsia="Calibri" w:hAnsi="Calibri"/>
      <w:b/>
      <w:bCs/>
      <w:color w:val="1F3864"/>
      <w:sz w:val="30"/>
      <w:szCs w:val="30"/>
    </w:rPr>
  </w:style>
  <w:style w:type="paragraph" w:styleId="Heading2">
    <w:name w:val="Heading 2"/>
    <w:basedOn w:val="Normal"/>
    <w:next w:val="Normal"/>
    <w:qFormat/>
    <w:pPr>
      <w:spacing w:before="240" w:after="100"/>
      <w:outlineLvl w:val="1"/>
    </w:pPr>
    <w:rPr>
      <w:rFonts w:ascii="Calibri" w:cs="Calibri" w:eastAsia="Calibri" w:hAnsi="Calibri"/>
      <w:b/>
      <w:bCs/>
      <w:color w:val="2E55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legal review</dc:title>
  <dc:creator>Avnish Uba</dc:creator>
  <cp:lastModifiedBy>Un-named</cp:lastModifiedBy>
  <cp:revision>1</cp:revision>
  <dcterms:created xsi:type="dcterms:W3CDTF">2026-10-25T12:06:29.768Z</dcterms:created>
  <dcterms:modified xsi:type="dcterms:W3CDTF">2026-10-25T12:06:29.768Z</dcterms:modified>
</cp:coreProperties>
</file>

<file path=docProps/custom.xml><?xml version="1.0" encoding="utf-8"?>
<Properties xmlns="http://schemas.openxmlformats.org/officeDocument/2006/custom-properties" xmlns:vt="http://schemas.openxmlformats.org/officeDocument/2006/docPropsVTypes"/>
</file>