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TEAM CLOSEDAI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Get a legal validator confirmed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still don't have someone with an Indian law background to check your test items. Pls either confirm someone or officially decide you're doing ‘two-team-member labeling’; Don't leave this open.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Test your training data generation first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generating 2,000 pairs, run a small trial and see how many get rejected by your rule checks.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The pilot is the most important thing in week 1 - don't ignore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whole project assumes major(frontier) models miss these defects. That's still untested. Week 1 has a lot on it ⇒ make sure the pilot on 5 leases actually happens first, before you build anything. 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Explain how you're building the knowledge graph edges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Exceptions and illustrations in the Act are clearly marked. But for the Supreme Court rulings, how exactly do you identify which section a ruling "interprets"? Manually reading each one? Using an LLM to extract? This needs to be clearer.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Write out the elements for each defect type explicitly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say the model checks elements before giving a verdict, but you never list what those elements actually are. For Section 27 for example: who is restrained, from what, for how long, starting when? Write this out for all three defect types. Without this, your element accuracy metric has nothing to measure against.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