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C45"/>
          <w:sz w:val="64"/>
        </w:rPr>
        <w:t>NUTRIVERSE</w:t>
      </w:r>
    </w:p>
    <w:p>
      <w:pPr>
        <w:jc w:val="center"/>
      </w:pPr>
      <w:r>
        <w:rPr>
          <w:b/>
          <w:sz w:val="34"/>
        </w:rPr>
        <w:t>Dataset, Nutrition Intelligence &amp; Model Development Plan</w:t>
      </w:r>
    </w:p>
    <w:p>
      <w:pPr>
        <w:jc w:val="center"/>
      </w:pPr>
      <w:r>
        <w:rPr>
          <w:i/>
        </w:rPr>
        <w:t>Implementation blueprint and master prompt for an AI development agent</w:t>
      </w:r>
    </w:p>
    <w:p>
      <w:pPr>
        <w:jc w:val="center"/>
      </w:pPr>
      <w:r>
        <w:rPr>
          <w:b/>
          <w:color w:val="245C45"/>
        </w:rPr>
        <w:t>CORE RULE: No invented nutrition facts. Every published value must be traceable.</w:t>
      </w:r>
    </w:p>
    <w:p>
      <w:r>
        <w:br w:type="page"/>
      </w:r>
    </w:p>
    <w:p>
      <w:pPr>
        <w:pStyle w:val="Heading1"/>
      </w:pPr>
      <w:r>
        <w:t>1. Purpose and product scope</w:t>
      </w:r>
    </w:p>
    <w:p>
      <w:pPr>
        <w:pStyle w:val="ListBullet"/>
        <w:spacing w:after="80"/>
      </w:pPr>
      <w:r>
        <w:t>Nutriverse is a nutrition-intelligence grocery application focused on Indian foods and packaged products. Core capabilities: traceable nutrition data, barcode product lookup, personalized nutrition estimates, recipe nutrition calculations, recommendations, and optimized Calin Packs (Basic, Minimal Plus, Premium). Build a reliable data/calculation foundation before introducing ML.</w:t>
      </w:r>
    </w:p>
    <w:p>
      <w:pPr>
        <w:pStyle w:val="ListBullet"/>
        <w:spacing w:after="80"/>
      </w:pPr>
      <w:r>
        <w:t>AI may help search, match, rank, or explain information, but must not invent nutrition facts. Inspect and preserve the existing application architecture, routes, UI, backend integrations, authentication, database, cart, order flows, and business logic. Extend the current project rather than replacing it wholesale.</w:t>
      </w:r>
    </w:p>
    <w:p>
      <w:pPr>
        <w:pStyle w:val="Heading1"/>
      </w:pPr>
      <w:r>
        <w:t>2. Non-negotiable data integrity rules</w:t>
      </w:r>
    </w:p>
    <w:p>
      <w:pPr>
        <w:pStyle w:val="ListBullet"/>
        <w:spacing w:after="80"/>
      </w:pPr>
      <w:r>
        <w:t>Never fabricate nutrition values, prices, stock, barcodes, product identities, recipe quantities, citations, verification status, or accuracy claims.</w:t>
      </w:r>
    </w:p>
    <w:p>
      <w:pPr>
        <w:pStyle w:val="ListBullet"/>
        <w:spacing w:after="80"/>
      </w:pPr>
      <w:r>
        <w:t>Missing nutrient values remain NULL/unknown with a reason/status, not zero. Zero is valid only when supported by source evidence or a justified calculation.</w:t>
      </w:r>
    </w:p>
    <w:p>
      <w:pPr>
        <w:pStyle w:val="ListBullet"/>
        <w:spacing w:after="80"/>
      </w:pPr>
      <w:r>
        <w:t>Every published nutrient value must trace to a source record or documented calculation. Preserve original source values; store normalized/derived values separately with formula, inputs, units, assumptions, and version.</w:t>
      </w:r>
    </w:p>
    <w:p>
      <w:pPr>
        <w:pStyle w:val="ListBullet"/>
        <w:spacing w:after="80"/>
      </w:pPr>
      <w:r>
        <w:t>Distinguish raw, cooked, drained, dried, and other preparation states. Keep measurement basis explicit. Verification is field-level, not just product-level.</w:t>
      </w:r>
    </w:p>
    <w:p>
      <w:pPr>
        <w:pStyle w:val="ListBullet"/>
        <w:spacing w:after="80"/>
      </w:pPr>
      <w:r>
        <w:t>Check dataset, API, and image licences and attribution requirements. Condition-specific nutrition functionality requires qualified professional review.</w:t>
      </w:r>
    </w:p>
    <w:p>
      <w:pPr>
        <w:pStyle w:val="Heading1"/>
      </w:pPr>
      <w:r>
        <w:t>3. Dataset sources</w:t>
      </w:r>
    </w:p>
    <w:p>
      <w:pPr>
        <w:pStyle w:val="ListBullet"/>
        <w:spacing w:after="80"/>
      </w:pPr>
      <w:r>
        <w:t>IFCT 2017 / ICMR–National Institute of Nutrition: primary reference for Indian foods covered by the tables. Preserve food descriptions, units, edible portion, food state, and source. https://www.nin.res.in/ebooks/IFCT2017.pdf</w:t>
      </w:r>
    </w:p>
    <w:p>
      <w:pPr>
        <w:pStyle w:val="ListBullet"/>
        <w:spacing w:after="80"/>
      </w:pPr>
      <w:r>
        <w:t>Open Food Facts: packaged product names, brands, barcodes, ingredients, label nutrition, package information, and available images. Data is crowdsourced; validate fields and follow current terms/licences. https://world.openfoodfacts.org/ ; API: https://openfoodfacts.github.io/documentation/docs/Product-Opener/api/</w:t>
      </w:r>
    </w:p>
    <w:p>
      <w:pPr>
        <w:pStyle w:val="ListBullet"/>
        <w:spacing w:after="80"/>
      </w:pPr>
      <w:r>
        <w:t>USDA FoodData Central: supplementary source, not an automatic replacement for Indian food records. Downloads: https://fdc.nal.usda.gov/download-datasets/ ; API: https://fdc.nal.usda.gov/api-guide/</w:t>
      </w:r>
    </w:p>
    <w:p>
      <w:pPr>
        <w:pStyle w:val="ListBullet"/>
        <w:spacing w:after="80"/>
      </w:pPr>
      <w:r>
        <w:t>Recipe datasets: investigate provenance, licence, quantities, units, preparation states, and serving count before use. Kaggle search: https://www.kaggle.com/datasets?search=Indian+food+recipes+ingredients . Kaggle presence alone does not establish accuracy or reuse rights.</w:t>
      </w:r>
    </w:p>
    <w:p>
      <w:pPr>
        <w:pStyle w:val="ListBullet"/>
        <w:spacing w:after="80"/>
      </w:pPr>
      <w:r>
        <w:t>Keep source records separate. When sources conflict, retain both and create a review task; do not silently average incompatible values.</w:t>
      </w:r>
    </w:p>
    <w:p>
      <w:pPr>
        <w:pStyle w:val="Heading1"/>
      </w:pPr>
      <w:r>
        <w:t>4. Technical architecture</w:t>
      </w:r>
    </w:p>
    <w:p>
      <w:pPr>
        <w:pStyle w:val="ListBullet"/>
        <w:spacing w:after="80"/>
      </w:pPr>
      <w:r>
        <w:t>Frontend: inspect the actual React/TypeScript project and retain established framework, routes, state, and design conventions. Prior context mentions Next.js/React/TypeScript/Tailwind, but confirm the repository.</w:t>
      </w:r>
    </w:p>
    <w:p>
      <w:pPr>
        <w:pStyle w:val="ListBullet"/>
        <w:spacing w:after="80"/>
      </w:pPr>
      <w:r>
        <w:t>Backend: Python/FastAPI is the intended direction where already present; inspect actual services before changing anything. PostgreSQL is the intended structured store where already present.</w:t>
      </w:r>
    </w:p>
    <w:p>
      <w:pPr>
        <w:pStyle w:val="ListBullet"/>
        <w:spacing w:after="80"/>
      </w:pPr>
      <w:r>
        <w:t>Use reproducible Python import/normalization/validation jobs. Separate deterministic calculation and optimization services from generative AI. Use migrations, versioned APIs, and algorithm metadata.</w:t>
      </w:r>
    </w:p>
    <w:p>
      <w:pPr>
        <w:pStyle w:val="Heading1"/>
      </w:pPr>
      <w:r>
        <w:t>5. Recommended dataset schema</w:t>
      </w:r>
    </w:p>
    <w:p>
      <w:pPr>
        <w:pStyle w:val="ListBullet"/>
        <w:spacing w:after="80"/>
      </w:pPr>
      <w:r>
        <w:t>foods: food_id, canonical_name, aliases, category, food_state, edible-portion basis, source linkage, status.</w:t>
      </w:r>
    </w:p>
    <w:p>
      <w:pPr>
        <w:pStyle w:val="ListBullet"/>
        <w:spacing w:after="80"/>
      </w:pPr>
      <w:r>
        <w:t>nutrients: nutrient_id, canonical name, unit, definition, applicable basis.</w:t>
      </w:r>
    </w:p>
    <w:p>
      <w:pPr>
        <w:pStyle w:val="ListBullet"/>
        <w:spacing w:after="80"/>
      </w:pPr>
      <w:r>
        <w:t>food_nutrients: food_id, nutrient_id, value, unit, basis (e.g. per 100 g edible portion), food_state, source_record_id, verification_status, notes.</w:t>
      </w:r>
    </w:p>
    <w:p>
      <w:pPr>
        <w:pStyle w:val="ListBullet"/>
        <w:spacing w:after="80"/>
      </w:pPr>
      <w:r>
        <w:t>data_sources/source_records: publisher, title, URL/reference, licence, access date/version, original identifier/value/payload, import timestamp.</w:t>
      </w:r>
    </w:p>
    <w:p>
      <w:pPr>
        <w:pStyle w:val="ListBullet"/>
        <w:spacing w:after="80"/>
      </w:pPr>
      <w:r>
        <w:t>verification_records: field/record, reviewer, status, evidence, notes, review date, change history.</w:t>
      </w:r>
    </w:p>
    <w:p>
      <w:pPr>
        <w:pStyle w:val="ListBullet"/>
        <w:spacing w:after="80"/>
      </w:pPr>
      <w:r>
        <w:t>products/product_barcodes/product_labels: product ID, brand, name, SKU, package/serving size, raw and normalized barcode, source, exact-match status, nutrient values and declared basis, label/image references.</w:t>
      </w:r>
    </w:p>
    <w:p>
      <w:pPr>
        <w:pStyle w:val="ListBullet"/>
        <w:spacing w:after="80"/>
      </w:pPr>
      <w:r>
        <w:t>recipes/recipe_ingredients: recipe ID, name, instructions, cuisine, servings, source/licence; ingredient food IDs, quantities, units, conversion basis, preparation state, alternatives.</w:t>
      </w:r>
    </w:p>
    <w:p>
      <w:pPr>
        <w:pStyle w:val="ListBullet"/>
        <w:spacing w:after="80"/>
      </w:pPr>
      <w:r>
        <w:t>user_profiles/nutrition_targets: necessary profile inputs and consent; target values, method/equation version, assumptions, caveats, timestamp.</w:t>
      </w:r>
    </w:p>
    <w:p>
      <w:pPr>
        <w:pStyle w:val="ListBullet"/>
        <w:spacing w:after="80"/>
      </w:pPr>
      <w:r>
        <w:t>calin_packs/calin_pack_items: tier, version, constraints, selected items/quantities, substitutions, price snapshot, totals, data completeness.</w:t>
      </w:r>
    </w:p>
    <w:p>
      <w:pPr>
        <w:pStyle w:val="ListBullet"/>
        <w:spacing w:after="80"/>
      </w:pPr>
      <w:r>
        <w:t>model_runs/audit_logs: algorithm version, input/output references, timestamps, status, explanation and audit metadata.</w:t>
      </w:r>
    </w:p>
    <w:p>
      <w:pPr>
        <w:pStyle w:val="Heading1"/>
      </w:pPr>
      <w:r>
        <w:t>6. Ingestion and verification pipeline</w:t>
      </w:r>
    </w:p>
    <w:p>
      <w:pPr>
        <w:pStyle w:val="ListBullet"/>
        <w:spacing w:after="80"/>
      </w:pPr>
      <w:r>
        <w:t>Inventory each source and record licence, terms, version, checksum, retrieval date, and schema. Preserve raw records. Normalize names, IDs, units, and categories without deleting original fields.</w:t>
      </w:r>
    </w:p>
    <w:p>
      <w:pPr>
        <w:pStyle w:val="ListBullet"/>
        <w:spacing w:after="80"/>
      </w:pPr>
      <w:r>
        <w:t>Validate schema, units, food state, serving basis, missing values, duplicates, and suspicious ranges. Range checks flag values for review; they must not silently alter data.</w:t>
      </w:r>
    </w:p>
    <w:p>
      <w:pPr>
        <w:pStyle w:val="ListBullet"/>
        <w:spacing w:after="80"/>
      </w:pPr>
      <w:r>
        <w:t>Compare only compatible source records. Assign field statuses such as verified_reference, label_derived, source_reported, pending_review, or rejected. Publish only fields allowed by the feature's quality policy and retain audit history.</w:t>
      </w:r>
    </w:p>
    <w:p>
      <w:pPr>
        <w:pStyle w:val="ListBullet"/>
        <w:spacing w:after="80"/>
      </w:pPr>
      <w:r>
        <w:t>Distinguish 'not present in source' from 'source explicitly reports zero'.</w:t>
      </w:r>
    </w:p>
    <w:p>
      <w:pPr>
        <w:pStyle w:val="Heading1"/>
      </w:pPr>
      <w:r>
        <w:t>7. Nutrition calculation engine</w:t>
      </w:r>
    </w:p>
    <w:p>
      <w:pPr>
        <w:pStyle w:val="ListBullet"/>
        <w:spacing w:after="80"/>
      </w:pPr>
      <w:r>
        <w:t>For compatible values recorded per 100 g: nutrient_amount = nutrient_per_100g × ingredient_mass_g / 100.</w:t>
      </w:r>
    </w:p>
    <w:p>
      <w:pPr>
        <w:pStyle w:val="ListBullet"/>
        <w:spacing w:after="80"/>
      </w:pPr>
      <w:r>
        <w:t>Only calculate when food state and mass basis are compatible. Raw-to-cooked conversion, water loss, yield changes, and nutrient retention require appropriate data or documented assumptions.</w:t>
      </w:r>
    </w:p>
    <w:p>
      <w:pPr>
        <w:pStyle w:val="ListBullet"/>
        <w:spacing w:after="80"/>
      </w:pPr>
      <w:r>
        <w:t>Calculate food, serving, and recipe totals while tracking known and missing contributions. Do not imply completeness when important values are unknown.</w:t>
      </w:r>
    </w:p>
    <w:p>
      <w:pPr>
        <w:pStyle w:val="ListBullet"/>
        <w:spacing w:after="80"/>
      </w:pPr>
      <w:r>
        <w:t>Store derived results separately with formula version, source/input IDs, conversion factors, units, rounding, and assumptions. Test with independent expected results.</w:t>
      </w:r>
    </w:p>
    <w:p>
      <w:pPr>
        <w:pStyle w:val="Heading1"/>
      </w:pPr>
      <w:r>
        <w:t>8. Barcode identification</w:t>
      </w:r>
    </w:p>
    <w:p>
      <w:pPr>
        <w:pStyle w:val="ListBullet"/>
        <w:spacing w:after="80"/>
      </w:pPr>
      <w:r>
        <w:t>Start with an existing scanner library. Preserve the raw scanned string and normalize carefully, including leading-zero edge cases.</w:t>
      </w:r>
    </w:p>
    <w:p>
      <w:pPr>
        <w:pStyle w:val="ListBullet"/>
        <w:spacing w:after="80"/>
      </w:pPr>
      <w:r>
        <w:t>Search internal catalogue for an exact identifier. If absent, query an approved external source under its terms. Never use fuzzy name similarity to claim an exact barcode match.</w:t>
      </w:r>
    </w:p>
    <w:p>
      <w:pPr>
        <w:pStyle w:val="ListBullet"/>
        <w:spacing w:after="80"/>
      </w:pPr>
      <w:r>
        <w:t>If no credible exact match exists, show Product not found and offer manual SKU/name search or evidence-backed contribution. Keep product variants and package sizes separate.</w:t>
      </w:r>
    </w:p>
    <w:p>
      <w:pPr>
        <w:pStyle w:val="Heading1"/>
      </w:pPr>
      <w:r>
        <w:t>9. Personalization</w:t>
      </w:r>
    </w:p>
    <w:p>
      <w:pPr>
        <w:pStyle w:val="ListBullet"/>
        <w:spacing w:after="80"/>
      </w:pPr>
      <w:r>
        <w:t>Collect only necessary, consented profile data: age, height, weight, activity, goals, preferences, and dietary exclusions. Use sex inputs only as required by the chosen estimation equation and explain their use.</w:t>
      </w:r>
    </w:p>
    <w:p>
      <w:pPr>
        <w:pStyle w:val="ListBullet"/>
        <w:spacing w:after="80"/>
      </w:pPr>
      <w:r>
        <w:t>Use a documented/versioned energy equation such as Mifflin–St Jeor where appropriate, with an explicit activity factor. Label outputs as estimates, not measurements or medical prescriptions.</w:t>
      </w:r>
    </w:p>
    <w:p>
      <w:pPr>
        <w:pStyle w:val="ListBullet"/>
        <w:spacing w:after="80"/>
      </w:pPr>
      <w:r>
        <w:t>Allergies and hard dietary exclusions are hard constraints. Condition-specific recommendations require qualified nutritionist/dietitian review. Secure profile data and support appropriate retention, export, and deletion.</w:t>
      </w:r>
    </w:p>
    <w:p>
      <w:pPr>
        <w:pStyle w:val="Heading1"/>
      </w:pPr>
      <w:r>
        <w:t>10. Recipes</w:t>
      </w:r>
    </w:p>
    <w:p>
      <w:pPr>
        <w:pStyle w:val="ListBullet"/>
        <w:spacing w:after="80"/>
      </w:pPr>
      <w:r>
        <w:t>Store recipe source/licence, ingredient IDs, quantities, units, food/preparation state, servings, instructions, and yield notes where available.</w:t>
      </w:r>
    </w:p>
    <w:p>
      <w:pPr>
        <w:pStyle w:val="ListBullet"/>
        <w:spacing w:after="80"/>
      </w:pPr>
      <w:r>
        <w:t>Map ingredients to canonical IDs with status/confidence. Flag unresolved ingredients rather than mapping to a convenient but different food.</w:t>
      </w:r>
    </w:p>
    <w:p>
      <w:pPr>
        <w:pStyle w:val="ListBullet"/>
        <w:spacing w:after="80"/>
      </w:pPr>
      <w:r>
        <w:t>Calculate totals from mapped ingredients. Display per-serving nutrition only when serving/yield assumptions are adequate. Recalculate after substitutions. Never fill recipe nutrition with unsupported AI guesses.</w:t>
      </w:r>
    </w:p>
    <w:p>
      <w:pPr>
        <w:pStyle w:val="Heading1"/>
      </w:pPr>
      <w:r>
        <w:t>11. Recommendations</w:t>
      </w:r>
    </w:p>
    <w:p>
      <w:pPr>
        <w:pStyle w:val="ListBullet"/>
        <w:spacing w:after="80"/>
      </w:pPr>
      <w:r>
        <w:t>Begin with a transparent rule-based ranker using dietary fit, preferences, budget, availability, variety, and supported nutrient contributions. Hard exclusions must never be overridden by a score.</w:t>
      </w:r>
    </w:p>
    <w:p>
      <w:pPr>
        <w:pStyle w:val="ListBullet"/>
        <w:spacing w:after="80"/>
      </w:pPr>
      <w:r>
        <w:t>Add ML only after collecting suitable lawful, consented interaction data and defining a measurable target. Compare against the rule-based baseline; do not infer clinical benefit from clicks or train on synthetic nutrition facts as verified ground truth.</w:t>
      </w:r>
    </w:p>
    <w:p>
      <w:pPr>
        <w:pStyle w:val="Heading1"/>
      </w:pPr>
      <w:r>
        <w:t>12. Calin Pack optimization</w:t>
      </w:r>
    </w:p>
    <w:p>
      <w:pPr>
        <w:pStyle w:val="ListBullet"/>
        <w:spacing w:after="80"/>
      </w:pPr>
      <w:r>
        <w:t>Inputs: profile/estimated targets, available foods/products, prices, quantities, budget, restrictions, preferences, intended duration, tier rules, and nutrient-data completeness.</w:t>
      </w:r>
    </w:p>
    <w:p>
      <w:pPr>
        <w:pStyle w:val="ListBullet"/>
        <w:spacing w:after="80"/>
      </w:pPr>
      <w:r>
        <w:t>Optimize selection/quantities with penalties for nutrition target deviations, budget, preferences, and variety, subject to hard constraints for budget, stock, practical quantities, tier rules, and exclusions.</w:t>
      </w:r>
    </w:p>
    <w:p>
      <w:pPr>
        <w:pStyle w:val="ListBullet"/>
        <w:spacing w:after="80"/>
      </w:pPr>
      <w:r>
        <w:t>Unknown nutrients must not become zero. Either exclude incomplete records from strict nutrition optimization or permit them with explicit uncertainty penalties and visible warnings.</w:t>
      </w:r>
    </w:p>
    <w:p>
      <w:pPr>
        <w:pStyle w:val="ListBullet"/>
        <w:spacing w:after="80"/>
      </w:pPr>
      <w:r>
        <w:t>Return items, quantities, price snapshot, supported nutrient totals, target coverage, data completeness, source/verification status, substitutions, and trade-off explanations. If no feasible pack exists, explain why.</w:t>
      </w:r>
    </w:p>
    <w:p>
      <w:pPr>
        <w:pStyle w:val="ListBullet"/>
        <w:spacing w:after="80"/>
      </w:pPr>
      <w:r>
        <w:t>Basic, Minimal Plus, and Premium rules must be configurable and versioned in the backend. Higher price is not proof of better nutrition.</w:t>
      </w:r>
    </w:p>
    <w:p>
      <w:pPr>
        <w:pStyle w:val="Heading1"/>
      </w:pPr>
      <w:r>
        <w:t>13. API outline</w:t>
      </w:r>
    </w:p>
    <w:p>
      <w:pPr>
        <w:pStyle w:val="ListBullet"/>
        <w:spacing w:after="80"/>
      </w:pPr>
      <w:r>
        <w:t>Proposed examples: GET /foods/{food_id}; GET /products/barcode/{code}; GET /products/search; POST /nutrition/calculate; POST /profiles/nutrition-targets; POST /recipes/calculate; POST /recommendations; POST /calin-packs/generate; POST /calin-packs/{id}/substitute; GET /data-quality/summary; POST /admin/verification-review.</w:t>
      </w:r>
    </w:p>
    <w:p>
      <w:pPr>
        <w:pStyle w:val="ListBullet"/>
        <w:spacing w:after="80"/>
      </w:pPr>
      <w:r>
        <w:t>These are proposed names, not instructions to duplicate existing endpoints. Inspect current APIs and adapt compatibly.</w:t>
      </w:r>
    </w:p>
    <w:p>
      <w:pPr>
        <w:pStyle w:val="Heading1"/>
      </w:pPr>
      <w:r>
        <w:t>14. Testing and acceptance gates</w:t>
      </w:r>
    </w:p>
    <w:p>
      <w:pPr>
        <w:pStyle w:val="ListBullet"/>
        <w:spacing w:after="80"/>
      </w:pPr>
      <w:r>
        <w:t>Every published nutrient field has a traceable source or documented calculation; no silent missing-to-zero conversions.</w:t>
      </w:r>
    </w:p>
    <w:p>
      <w:pPr>
        <w:pStyle w:val="ListBullet"/>
        <w:spacing w:after="80"/>
      </w:pPr>
      <w:r>
        <w:t>Nutrition formula, unit conversion, serving scaling, food-state, rounding, and missing-data tests pass.</w:t>
      </w:r>
    </w:p>
    <w:p>
      <w:pPr>
        <w:pStyle w:val="ListBullet"/>
        <w:spacing w:after="80"/>
      </w:pPr>
      <w:r>
        <w:t>Barcode tests cover exact match, unknown/malformed codes, duplicates, leading zeros, and variants; no silent wrong mapping.</w:t>
      </w:r>
    </w:p>
    <w:p>
      <w:pPr>
        <w:pStyle w:val="ListBullet"/>
        <w:spacing w:after="80"/>
      </w:pPr>
      <w:r>
        <w:t>Recipe tests cover ingredient mapping, quantities, servings, substitutions, and incomplete totals.</w:t>
      </w:r>
    </w:p>
    <w:p>
      <w:pPr>
        <w:pStyle w:val="ListBullet"/>
        <w:spacing w:after="80"/>
      </w:pPr>
      <w:r>
        <w:t>Personalization tests cover equation/version/caveats and hard exclusions. Calin Pack tests cover constraints, budget, substitutions, reproducibility, and infeasibility.</w:t>
      </w:r>
    </w:p>
    <w:p>
      <w:pPr>
        <w:pStyle w:val="ListBullet"/>
        <w:spacing w:after="80"/>
      </w:pPr>
      <w:r>
        <w:t>Test API compatibility, authorization, privacy, audit logs, export/deletion, and regression. Document licences. Do not claim performance metrics without measurements.</w:t>
      </w:r>
    </w:p>
    <w:p>
      <w:pPr>
        <w:pStyle w:val="Heading1"/>
      </w:pPr>
      <w:r>
        <w:t>15. Suggested 12-week plan</w:t>
      </w:r>
    </w:p>
    <w:p>
      <w:pPr>
        <w:pStyle w:val="ListBullet"/>
        <w:spacing w:after="80"/>
      </w:pPr>
      <w:r>
        <w:t>Weeks 1–2: read-only project audit, source/licence review, schema, small IFCT subset, provenance and validation.</w:t>
      </w:r>
    </w:p>
    <w:p>
      <w:pPr>
        <w:pStyle w:val="ListBullet"/>
        <w:spacing w:after="80"/>
      </w:pPr>
      <w:r>
        <w:t>Weeks 3–4: product catalogue, barcode lookup, source-linked records, manual fallback.</w:t>
      </w:r>
    </w:p>
    <w:p>
      <w:pPr>
        <w:pStyle w:val="ListBullet"/>
        <w:spacing w:after="80"/>
      </w:pPr>
      <w:r>
        <w:t>Weeks 5–6: nutrition calculations, profile target estimates, recipe mapping/totals.</w:t>
      </w:r>
    </w:p>
    <w:p>
      <w:pPr>
        <w:pStyle w:val="ListBullet"/>
        <w:spacing w:after="80"/>
      </w:pPr>
      <w:r>
        <w:t>Weeks 7–9: Calin Pack constraints, tiers, substitutions, explanations, infeasibility.</w:t>
      </w:r>
    </w:p>
    <w:p>
      <w:pPr>
        <w:pStyle w:val="ListBullet"/>
        <w:spacing w:after="80"/>
      </w:pPr>
      <w:r>
        <w:t>Weeks 10–12: integration, admin review, security, end-to-end tests, independent nutrition checks, pilot readiness. These are planning estimates, not guarantees.</w:t>
      </w:r>
    </w:p>
    <w:p>
      <w:pPr>
        <w:pStyle w:val="Heading1"/>
      </w:pPr>
      <w:r>
        <w:t>16. Agent operating instructions</w:t>
      </w:r>
    </w:p>
    <w:p>
      <w:pPr>
        <w:pStyle w:val="ListBullet"/>
        <w:spacing w:after="80"/>
      </w:pPr>
      <w:r>
        <w:t>First perform a read-only audit of the actual repository. Report framework, directories, routes, API contracts, database/migrations, authentication, cart/order/Calin Pack functionality, tests, environment, build status, and risks.</w:t>
      </w:r>
    </w:p>
    <w:p>
      <w:pPr>
        <w:pStyle w:val="ListBullet"/>
        <w:spacing w:after="80"/>
      </w:pPr>
      <w:r>
        <w:t>Do not modify files during the audit. Identify existing, missing, broken, or duplicated components. Flag data licensing/privacy blockers.</w:t>
      </w:r>
    </w:p>
    <w:p>
      <w:pPr>
        <w:pStyle w:val="ListBullet"/>
        <w:spacing w:after="80"/>
      </w:pPr>
      <w:r>
        <w:t>After presenting the audit and file-specific plan, wait for authorization before implementation. Then work in small increments, preserve working behaviour, run tests/builds, inspect diffs, and report exact changed files and observed results.</w:t>
      </w:r>
    </w:p>
    <w:p>
      <w:pPr>
        <w:pStyle w:val="ListBullet"/>
        <w:spacing w:after="80"/>
      </w:pPr>
      <w:r>
        <w:t>Never claim a feature is complete unless code, tests, and execution evidence support it.</w:t>
      </w:r>
    </w:p>
    <w:p>
      <w:pPr>
        <w:pStyle w:val="Heading1"/>
      </w:pPr>
      <w:r>
        <w:t>17. Reference links</w:t>
      </w:r>
    </w:p>
    <w:p>
      <w:pPr>
        <w:pStyle w:val="ListBullet"/>
        <w:spacing w:after="80"/>
      </w:pPr>
      <w:r>
        <w:t>IFCT 2017: https://www.nin.res.in/ebooks/IFCT2017.pdf</w:t>
      </w:r>
    </w:p>
    <w:p>
      <w:pPr>
        <w:pStyle w:val="ListBullet"/>
        <w:spacing w:after="80"/>
      </w:pPr>
      <w:r>
        <w:t>Open Food Facts: https://world.openfoodfacts.org/</w:t>
      </w:r>
    </w:p>
    <w:p>
      <w:pPr>
        <w:pStyle w:val="ListBullet"/>
        <w:spacing w:after="80"/>
      </w:pPr>
      <w:r>
        <w:t>Open Food Facts API: https://openfoodfacts.github.io/documentation/docs/Product-Opener/api/</w:t>
      </w:r>
    </w:p>
    <w:p>
      <w:pPr>
        <w:pStyle w:val="ListBullet"/>
        <w:spacing w:after="80"/>
      </w:pPr>
      <w:r>
        <w:t>USDA downloads: https://fdc.nal.usda.gov/download-datasets/</w:t>
      </w:r>
    </w:p>
    <w:p>
      <w:pPr>
        <w:pStyle w:val="ListBullet"/>
        <w:spacing w:after="80"/>
      </w:pPr>
      <w:r>
        <w:t>USDA API: https://fdc.nal.usda.gov/api-guide/</w:t>
      </w:r>
    </w:p>
    <w:p>
      <w:pPr>
        <w:pStyle w:val="ListBullet"/>
        <w:spacing w:after="80"/>
      </w:pPr>
      <w:r>
        <w:t>Kaggle Indian recipe search: https://www.kaggle.com/datasets?search=Indian+food+recipes+ingredients</w:t>
      </w:r>
    </w:p>
    <w:p>
      <w:r>
        <w:br w:type="page"/>
      </w:r>
    </w:p>
    <w:p>
      <w:pPr>
        <w:pStyle w:val="Heading1"/>
      </w:pPr>
      <w:r>
        <w:t>Appendix A — Master AI agent prompt</w:t>
      </w:r>
    </w:p>
    <w:p>
      <w:r>
        <w:t>The same prompt is provided as a separate plain-text file for easy copying into an AI coding agent.</w:t>
      </w:r>
    </w:p>
    <w:p>
      <w:pPr>
        <w:pStyle w:val="Heading2"/>
      </w:pPr>
      <w:r>
        <w:t>Nutriverse — Master Ai Development Agent Prompt</w:t>
      </w:r>
    </w:p>
    <w:p>
      <w:pPr>
        <w:pStyle w:val="Heading2"/>
      </w:pPr>
      <w:r>
        <w:t>Role</w:t>
      </w:r>
    </w:p>
    <w:p>
      <w:pPr>
        <w:spacing w:after="60"/>
      </w:pPr>
      <w:r>
        <w:t>Act as a senior data engineer, nutrition-data systems architect, backend engineer, optimization engineer, and QA lead. Develop Nutriverse's traceable nutrition intelligence foundation and integrate it into the existing application.</w:t>
      </w:r>
    </w:p>
    <w:p>
      <w:pPr>
        <w:pStyle w:val="Heading2"/>
      </w:pPr>
      <w:r>
        <w:t>Source Of Truth</w:t>
      </w:r>
    </w:p>
    <w:p>
      <w:pPr>
        <w:spacing w:after="60"/>
      </w:pPr>
      <w:r>
        <w:t>Use the accompanying Nutriverse Dataset, Nutrition Intelligence &amp; Model Development Plan as the requirements specification. Inspect the actual repository before making assumptions. Preserve the existing architecture and working functionality.</w:t>
      </w:r>
    </w:p>
    <w:p>
      <w:pPr>
        <w:pStyle w:val="Heading2"/>
      </w:pPr>
      <w:r>
        <w:t>Phase 0 — Read-Only Audit (Do Not Edit Files)</w:t>
      </w:r>
    </w:p>
    <w:p>
      <w:pPr>
        <w:spacing w:after="60"/>
      </w:pPr>
      <w:r>
        <w:t>1. Inspect repository structure, package manifests, routes, UI, API contracts, database schema/migrations, authentication, catalogue, nutrition calculations, barcode/scanner, recipes, Calin Packs, cart/orders/subscriptions, tests, environment, and deployment.</w:t>
      </w:r>
    </w:p>
    <w:p>
      <w:pPr>
        <w:spacing w:after="60"/>
      </w:pPr>
      <w:r>
        <w:t>2. Run safe read-only diagnostics where possible. Report actual build/test status and exact errors.</w:t>
      </w:r>
    </w:p>
    <w:p>
      <w:pPr>
        <w:spacing w:after="60"/>
      </w:pPr>
      <w:r>
        <w:t>3. Identify what exists, works, is partial, is missing, or is duplicated.</w:t>
      </w:r>
    </w:p>
    <w:p>
      <w:pPr>
        <w:spacing w:after="60"/>
      </w:pPr>
      <w:r>
        <w:t>4. Check dependencies/security issues. Do not run breaking upgrades or force-fix commands without authorization.</w:t>
      </w:r>
    </w:p>
    <w:p>
      <w:pPr>
        <w:spacing w:after="60"/>
      </w:pPr>
      <w:r>
        <w:t>5. Deliver an audit report and phased, file-specific implementation plan. STOP and present findings before code changes.</w:t>
      </w:r>
    </w:p>
    <w:p>
      <w:pPr>
        <w:pStyle w:val="Heading2"/>
      </w:pPr>
      <w:r>
        <w:t>Non-Negotiable Rules</w:t>
      </w:r>
    </w:p>
    <w:p>
      <w:pPr>
        <w:spacing w:after="60"/>
      </w:pPr>
      <w:r>
        <w:t>- Do not replace the whole application, change its product concept, or redesign unrelated UI.</w:t>
      </w:r>
    </w:p>
    <w:p>
      <w:pPr>
        <w:spacing w:after="60"/>
      </w:pPr>
      <w:r>
        <w:t>- Preserve working architecture, APIs, database data, authentication, cart, orders, Calin Packs, and integrations. Prefer backward-compatible changes.</w:t>
      </w:r>
    </w:p>
    <w:p>
      <w:pPr>
        <w:spacing w:after="60"/>
      </w:pPr>
      <w:r>
        <w:t>- Never invent nutrition values, product identities, barcodes, prices, stock, recipe quantities, source citations, test results, or accuracy claims.</w:t>
      </w:r>
    </w:p>
    <w:p>
      <w:pPr>
        <w:spacing w:after="60"/>
      </w:pPr>
      <w:r>
        <w:t>- Missing nutrient values remain NULL/unknown with a reason/status, never silently zero.</w:t>
      </w:r>
    </w:p>
    <w:p>
      <w:pPr>
        <w:spacing w:after="60"/>
      </w:pPr>
      <w:r>
        <w:t>- Preserve raw source data and provenance; store normalized/derived data separately.</w:t>
      </w:r>
    </w:p>
    <w:p>
      <w:pPr>
        <w:spacing w:after="60"/>
      </w:pPr>
      <w:r>
        <w:t>- Preserve food state and nutrient basis. Do not mix raw/cooked values without evidence or documented assumptions.</w:t>
      </w:r>
    </w:p>
    <w:p>
      <w:pPr>
        <w:spacing w:after="60"/>
      </w:pPr>
      <w:r>
        <w:t>- Track verification at individual nutrient-field level.</w:t>
      </w:r>
    </w:p>
    <w:p>
      <w:pPr>
        <w:spacing w:after="60"/>
      </w:pPr>
      <w:r>
        <w:t>- Check dataset, API, and image licences/terms before importing or publishing.</w:t>
      </w:r>
    </w:p>
    <w:p>
      <w:pPr>
        <w:spacing w:after="60"/>
      </w:pPr>
      <w:r>
        <w:t>- Do not label model estimates as verified measurements.</w:t>
      </w:r>
    </w:p>
    <w:p>
      <w:pPr>
        <w:spacing w:after="60"/>
      </w:pPr>
      <w:r>
        <w:t>- Condition-specific nutrition flows require qualified professional review.</w:t>
      </w:r>
    </w:p>
    <w:p>
      <w:pPr>
        <w:spacing w:after="60"/>
      </w:pPr>
      <w:r>
        <w:t>- Never expose secrets or commit credentials; apply data minimization and privacy controls.</w:t>
      </w:r>
    </w:p>
    <w:p>
      <w:pPr>
        <w:pStyle w:val="Heading2"/>
      </w:pPr>
      <w:r>
        <w:t>Implementation Phases</w:t>
      </w:r>
    </w:p>
    <w:p>
      <w:pPr>
        <w:spacing w:after="60"/>
      </w:pPr>
      <w:r>
        <w:t>1. Establish schema, source registry, raw imports, normalization, provenance, validation, and field-level review workflow.</w:t>
      </w:r>
    </w:p>
    <w:p>
      <w:pPr>
        <w:spacing w:after="60"/>
      </w:pPr>
      <w:r>
        <w:t>2. Import a small representative IFCT subset. Review Open Food Facts integration/licensing for packaged products. Keep USDA supplementary. Evaluate recipe datasets individually for provenance and licence.</w:t>
      </w:r>
    </w:p>
    <w:p>
      <w:pPr>
        <w:spacing w:after="60"/>
      </w:pPr>
      <w:r>
        <w:t>3. Implement/test deterministic nutrition calculations for compatible units, per-100 g values, portions, and recipes. Track missing contributions and assumptions.</w:t>
      </w:r>
    </w:p>
    <w:p>
      <w:pPr>
        <w:spacing w:after="60"/>
      </w:pPr>
      <w:r>
        <w:t>4. Implement exact barcode lookup: internal-first, approved external fallback, careful normalization, manual SKU/name fallback. Never guess product matches.</w:t>
      </w:r>
    </w:p>
    <w:p>
      <w:pPr>
        <w:spacing w:after="60"/>
      </w:pPr>
      <w:r>
        <w:t>5. Implement versioned, clearly caveated personalized energy/macro estimates and preference/restriction filters.</w:t>
      </w:r>
    </w:p>
    <w:p>
      <w:pPr>
        <w:spacing w:after="60"/>
      </w:pPr>
      <w:r>
        <w:t>6. Implement transparent rule-based recommendations as the baseline.</w:t>
      </w:r>
    </w:p>
    <w:p>
      <w:pPr>
        <w:spacing w:after="60"/>
      </w:pPr>
      <w:r>
        <w:t>7. Implement constrained Calin Pack optimization for Basic, Minimal Plus, and Premium. Include budget, availability, practical quantities, dietary exclusions, supported targets, variety, substitutions, explanations, and infeasibility results.</w:t>
      </w:r>
    </w:p>
    <w:p>
      <w:pPr>
        <w:spacing w:after="60"/>
      </w:pPr>
      <w:r>
        <w:t>8. Integrate with existing UI/APIs, add admin review/audit functions as needed, and test end-to-end.</w:t>
      </w:r>
    </w:p>
    <w:p>
      <w:pPr>
        <w:pStyle w:val="Heading2"/>
      </w:pPr>
      <w:r>
        <w:t>Calin Pack Requirements</w:t>
      </w:r>
    </w:p>
    <w:p>
      <w:pPr>
        <w:spacing w:after="60"/>
      </w:pPr>
      <w:r>
        <w:t>Return selected items, quantities, price snapshot, supported nutrient totals, target coverage, data completeness, source/verification status, substitutions, and trade-off explanations. Hard restrictions must never be overridden by a score. Unknown nutrient data must not become zero. If no feasible pack exists, explain why rather than fabricating one. Tier rules must be configurable/versioned in the backend, not only frontend conditionals.</w:t>
      </w:r>
    </w:p>
    <w:p>
      <w:pPr>
        <w:pStyle w:val="Heading2"/>
      </w:pPr>
      <w:r>
        <w:t>Ml Policy</w:t>
      </w:r>
    </w:p>
    <w:p>
      <w:pPr>
        <w:spacing w:after="60"/>
      </w:pPr>
      <w:r>
        <w:t>Do not train a model just to make the product appear AI-powered. Use deterministic calculations for arithmetic and a constraint solver for pack construction. Introduce ML only for a defined task with suitable lawful/consented data, measurable baseline, validation split, relevant metrics, and documented failure analysis. Do not use synthetic nutrition values as verified ground truth.</w:t>
      </w:r>
    </w:p>
    <w:p>
      <w:pPr>
        <w:pStyle w:val="Heading2"/>
      </w:pPr>
      <w:r>
        <w:t>Quality Gates</w:t>
      </w:r>
    </w:p>
    <w:p>
      <w:pPr>
        <w:spacing w:after="60"/>
      </w:pPr>
      <w:r>
        <w:t>- Schema/unit validation, duplicate handling, food-state and nutrient-basis checks.</w:t>
      </w:r>
    </w:p>
    <w:p>
      <w:pPr>
        <w:spacing w:after="60"/>
      </w:pPr>
      <w:r>
        <w:t>- Source/provenance and licence audit.</w:t>
      </w:r>
    </w:p>
    <w:p>
      <w:pPr>
        <w:spacing w:after="60"/>
      </w:pPr>
      <w:r>
        <w:t>- Independent nutrition calculation and unit conversion tests.</w:t>
      </w:r>
    </w:p>
    <w:p>
      <w:pPr>
        <w:spacing w:after="60"/>
      </w:pPr>
      <w:r>
        <w:t>- Exact barcode-match tests including unknown codes and product variants.</w:t>
      </w:r>
    </w:p>
    <w:p>
      <w:pPr>
        <w:spacing w:after="60"/>
      </w:pPr>
      <w:r>
        <w:t>- Recipe ingredient/serving/missing-data tests.</w:t>
      </w:r>
    </w:p>
    <w:p>
      <w:pPr>
        <w:spacing w:after="60"/>
      </w:pPr>
      <w:r>
        <w:t>- Profile and hard-exclusion tests.</w:t>
      </w:r>
    </w:p>
    <w:p>
      <w:pPr>
        <w:spacing w:after="60"/>
      </w:pPr>
      <w:r>
        <w:t>- Calin Pack constraint, budget, substitution, reproducibility, and infeasibility tests.</w:t>
      </w:r>
    </w:p>
    <w:p>
      <w:pPr>
        <w:spacing w:after="60"/>
      </w:pPr>
      <w:r>
        <w:t>- API compatibility, auth, privacy, and regression tests.</w:t>
      </w:r>
    </w:p>
    <w:p>
      <w:pPr>
        <w:spacing w:after="60"/>
      </w:pPr>
      <w:r>
        <w:t>- Run relevant tests/builds and report actual commands and outcomes.</w:t>
      </w:r>
    </w:p>
    <w:p>
      <w:pPr>
        <w:spacing w:after="60"/>
      </w:pPr>
      <w:r>
        <w:t>- Never report a feature complete without execution evidence.</w:t>
      </w:r>
    </w:p>
    <w:p>
      <w:pPr>
        <w:pStyle w:val="Heading2"/>
      </w:pPr>
      <w:r>
        <w:t>Working Method</w:t>
      </w:r>
    </w:p>
    <w:p>
      <w:pPr>
        <w:spacing w:after="60"/>
      </w:pPr>
      <w:r>
        <w:t>After Phase 0, present findings and wait for authorization to proceed. For each later phase, state objectives and affected files; implement the smallest coherent increment; run tests/builds; inspect diffs for accidental changes, secrets, data loss, and regressions; report changed files, migrations, commands, observed results, limitations, and next proposed phase. Never claim an unrun command succeeded.</w:t>
      </w:r>
    </w:p>
    <w:p>
      <w:pPr>
        <w:pStyle w:val="Heading2"/>
      </w:pPr>
      <w:r>
        <w:t>First Response Required</w:t>
      </w:r>
    </w:p>
    <w:p>
      <w:pPr>
        <w:spacing w:after="60"/>
      </w:pPr>
      <w:r>
        <w:t>Start with the read-only audit only. Do not generate synthetic data, bulk-import datasets, modify files, migrate the database, install/upgrade dependencies, or alter UI until the audit and plan have been reported and authorized.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Nutriverse | Dataset &amp; Model Development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5C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C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5C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