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4D"/>
          <w:sz w:val="52"/>
          <w:szCs w:val="52"/>
        </w:rPr>
        <w:t xml:space="preserve">NUTRIVERSE</w:t>
      </w:r>
    </w:p>
    <w:p>
      <w:pPr>
        <w:spacing w:after="60"/>
      </w:pPr>
      <w:r>
        <w:rPr>
          <w:b/>
          <w:bCs/>
          <w:color w:val="3C7A54"/>
          <w:sz w:val="26"/>
          <w:szCs w:val="26"/>
        </w:rPr>
        <w:t xml:space="preserve">Nutrition-First Retail — Business Concept Document</w:t>
      </w:r>
    </w:p>
    <w:p>
      <w:pPr>
        <w:spacing w:after="300"/>
      </w:pPr>
      <w:r>
        <w:rPr>
          <w:i/>
          <w:iCs/>
          <w:color w:val="6B6B6B"/>
          <w:sz w:val="20"/>
          <w:szCs w:val="20"/>
        </w:rPr>
        <w:t xml:space="preserve">Prepared for: Cupid  |  Version 1.0</w:t>
      </w:r>
    </w:p>
    <w:p>
      <w:pPr>
        <w:pBdr>
          <w:bottom w:val="single" w:color="CCCCCC" w:sz="6" w:space="4"/>
        </w:pBdr>
        <w:spacing w:after="240"/>
      </w:pPr>
    </w:p>
    <w:p>
      <w:pPr>
        <w:pStyle w:val="Heading1"/>
        <w:spacing w:after="200" w:before="400"/>
      </w:pPr>
      <w:r>
        <w:rPr>
          <w:b/>
          <w:bCs/>
          <w:color w:val="1F3B4D"/>
          <w:sz w:val="30"/>
          <w:szCs w:val="30"/>
        </w:rPr>
        <w:t xml:space="preserve">1. The Problem</w:t>
      </w:r>
    </w:p>
    <w:p>
      <w:pPr>
        <w:spacing w:after="160" w:line="300"/>
      </w:pPr>
      <w:r>
        <w:rPr>
          <w:sz w:val="22"/>
          <w:szCs w:val="22"/>
        </w:rPr>
        <w:t xml:space="preserve">A large number of people do not consume food in the amounts of calories and nutrients that their bodies actually need. Everyone has a different body mass and, correspondingly, a different daily requirement for macronutrients (carbohydrates, proteins, fats), micronutrients (vitamins and minerals), and water. Most grocery and retail formats today are organised around brands and product categories (snacks, dairy, staples), not around what a person's body actually requires each day. This creates a gap between what is easily available to buy and what a person should be eating.</w:t>
      </w:r>
    </w:p>
    <w:p>
      <w:pPr>
        <w:pStyle w:val="Heading1"/>
        <w:spacing w:after="200" w:before="400"/>
      </w:pPr>
      <w:r>
        <w:rPr>
          <w:b/>
          <w:bCs/>
          <w:color w:val="1F3B4D"/>
          <w:sz w:val="30"/>
          <w:szCs w:val="30"/>
        </w:rPr>
        <w:t xml:space="preserve">2. The Idea</w:t>
      </w:r>
    </w:p>
    <w:p>
      <w:pPr>
        <w:spacing w:after="160" w:line="300"/>
      </w:pPr>
      <w:r>
        <w:rPr>
          <w:sz w:val="22"/>
          <w:szCs w:val="22"/>
        </w:rPr>
        <w:t xml:space="preserve">Nutriverse is a nutrition-first grocery retail concept — similar in format to a supermarket like DMart — that sells the same essentials (vegetables, fruits, eggs, fish, grains, and other food products) but organises, packages, and personalises them around nutrition rather than around conventional retail categories. The goal is to make it effortless for a customer to buy exactly the nutrition their body needs, every day.</w:t>
      </w:r>
    </w:p>
    <w:p>
      <w:pPr>
        <w:pStyle w:val="Heading1"/>
        <w:spacing w:after="200" w:before="400"/>
      </w:pPr>
      <w:r>
        <w:rPr>
          <w:b/>
          <w:bCs/>
          <w:color w:val="1F3B4D"/>
          <w:sz w:val="30"/>
          <w:szCs w:val="30"/>
        </w:rPr>
        <w:t xml:space="preserve">3. In-Store Experience</w:t>
      </w:r>
    </w:p>
    <w:p>
      <w:pPr>
        <w:pStyle w:val="Heading2"/>
        <w:spacing w:after="140" w:before="280"/>
      </w:pPr>
      <w:r>
        <w:rPr>
          <w:b/>
          <w:bCs/>
          <w:color w:val="3C7A54"/>
          <w:sz w:val="24"/>
          <w:szCs w:val="24"/>
        </w:rPr>
        <w:t xml:space="preserve">3.1 Nutrient-Based Categorisation</w:t>
      </w:r>
    </w:p>
    <w:p>
      <w:pPr>
        <w:spacing w:after="160" w:line="300"/>
      </w:pPr>
      <w:r>
        <w:rPr>
          <w:sz w:val="22"/>
          <w:szCs w:val="22"/>
        </w:rPr>
        <w:t xml:space="preserve">Instead of organising the store by conventional product category alone, products are grouped by their primary nutrient type, and within each group, arranged in order of nutrient concentration (ascending or descending), so customers can directly compare options.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2500"/>
            <w:shd w:fill="1F3B4D" w:val="clear"/>
            <w:tcMar>
              <w:top w:type="dxa" w:w="100"/>
              <w:left w:type="dxa" w:w="120"/>
              <w:bottom w:type="dxa" w:w="100"/>
              <w:right w:type="dxa" w:w="120"/>
            </w:tcMar>
          </w:tcPr>
          <w:p>
            <w:r>
              <w:rPr>
                <w:b/>
                <w:bCs/>
                <w:color w:val="FFFFFF"/>
                <w:sz w:val="20"/>
                <w:szCs w:val="20"/>
              </w:rPr>
              <w:t xml:space="preserve">Category</w:t>
            </w:r>
          </w:p>
        </w:tc>
        <w:tc>
          <w:tcPr>
            <w:tcW w:type="dxa" w:w="2500"/>
            <w:shd w:fill="1F3B4D" w:val="clear"/>
            <w:tcMar>
              <w:top w:type="dxa" w:w="100"/>
              <w:left w:type="dxa" w:w="120"/>
              <w:bottom w:type="dxa" w:w="100"/>
              <w:right w:type="dxa" w:w="120"/>
            </w:tcMar>
          </w:tcPr>
          <w:p>
            <w:r>
              <w:rPr>
                <w:b/>
                <w:bCs/>
                <w:color w:val="FFFFFF"/>
                <w:sz w:val="20"/>
                <w:szCs w:val="20"/>
              </w:rPr>
              <w:t xml:space="preserve">Shelf organisation logic</w:t>
            </w:r>
          </w:p>
        </w:tc>
      </w:tr>
      <w:tr>
        <w:tc>
          <w:tcPr>
            <w:tcW w:type="dxa" w:w="2500"/>
            <w:shd w:fill="EDF3EE" w:val="clear"/>
            <w:tcMar>
              <w:top w:type="dxa" w:w="100"/>
              <w:left w:type="dxa" w:w="120"/>
              <w:bottom w:type="dxa" w:w="100"/>
              <w:right w:type="dxa" w:w="120"/>
            </w:tcMar>
          </w:tcPr>
          <w:p>
            <w:r>
              <w:rPr>
                <w:b w:val="false"/>
                <w:bCs w:val="false"/>
                <w:color w:val="000000"/>
                <w:sz w:val="20"/>
                <w:szCs w:val="20"/>
              </w:rPr>
              <w:t xml:space="preserve">Carbohydrates</w:t>
            </w:r>
          </w:p>
        </w:tc>
        <w:tc>
          <w:tcPr>
            <w:tcW w:type="dxa" w:w="2500"/>
            <w:shd w:fill="EDF3EE" w:val="clear"/>
            <w:tcMar>
              <w:top w:type="dxa" w:w="100"/>
              <w:left w:type="dxa" w:w="120"/>
              <w:bottom w:type="dxa" w:w="100"/>
              <w:right w:type="dxa" w:w="120"/>
            </w:tcMar>
          </w:tcPr>
          <w:p>
            <w:r>
              <w:rPr>
                <w:b w:val="false"/>
                <w:bCs w:val="false"/>
                <w:color w:val="000000"/>
                <w:sz w:val="20"/>
                <w:szCs w:val="20"/>
              </w:rPr>
              <w:t xml:space="preserve">Products arranged by % carbohydrate content (ascending or descending) so customers can compare at a glance</w:t>
            </w:r>
          </w:p>
        </w:tc>
      </w:tr>
      <w:tr>
        <w:tc>
          <w:tcPr>
            <w:tcW w:type="dxa" w:w="2500"/>
            <w:shd w:fill="FFFFFF" w:val="clear"/>
            <w:tcMar>
              <w:top w:type="dxa" w:w="100"/>
              <w:left w:type="dxa" w:w="120"/>
              <w:bottom w:type="dxa" w:w="100"/>
              <w:right w:type="dxa" w:w="120"/>
            </w:tcMar>
          </w:tcPr>
          <w:p>
            <w:r>
              <w:rPr>
                <w:b w:val="false"/>
                <w:bCs w:val="false"/>
                <w:color w:val="000000"/>
                <w:sz w:val="20"/>
                <w:szCs w:val="20"/>
              </w:rPr>
              <w:t xml:space="preserve">Proteins</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Arranged by % protein content</w:t>
            </w:r>
          </w:p>
        </w:tc>
      </w:tr>
      <w:tr>
        <w:tc>
          <w:tcPr>
            <w:tcW w:type="dxa" w:w="2500"/>
            <w:shd w:fill="EDF3EE" w:val="clear"/>
            <w:tcMar>
              <w:top w:type="dxa" w:w="100"/>
              <w:left w:type="dxa" w:w="120"/>
              <w:bottom w:type="dxa" w:w="100"/>
              <w:right w:type="dxa" w:w="120"/>
            </w:tcMar>
          </w:tcPr>
          <w:p>
            <w:r>
              <w:rPr>
                <w:b w:val="false"/>
                <w:bCs w:val="false"/>
                <w:color w:val="000000"/>
                <w:sz w:val="20"/>
                <w:szCs w:val="20"/>
              </w:rPr>
              <w:t xml:space="preserve">Fats</w:t>
            </w:r>
          </w:p>
        </w:tc>
        <w:tc>
          <w:tcPr>
            <w:tcW w:type="dxa" w:w="2500"/>
            <w:shd w:fill="EDF3EE" w:val="clear"/>
            <w:tcMar>
              <w:top w:type="dxa" w:w="100"/>
              <w:left w:type="dxa" w:w="120"/>
              <w:bottom w:type="dxa" w:w="100"/>
              <w:right w:type="dxa" w:w="120"/>
            </w:tcMar>
          </w:tcPr>
          <w:p>
            <w:r>
              <w:rPr>
                <w:b w:val="false"/>
                <w:bCs w:val="false"/>
                <w:color w:val="000000"/>
                <w:sz w:val="20"/>
                <w:szCs w:val="20"/>
              </w:rPr>
              <w:t xml:space="preserve">Arranged by % fat content</w:t>
            </w:r>
          </w:p>
        </w:tc>
      </w:tr>
      <w:tr>
        <w:tc>
          <w:tcPr>
            <w:tcW w:type="dxa" w:w="2500"/>
            <w:shd w:fill="FFFFFF" w:val="clear"/>
            <w:tcMar>
              <w:top w:type="dxa" w:w="100"/>
              <w:left w:type="dxa" w:w="120"/>
              <w:bottom w:type="dxa" w:w="100"/>
              <w:right w:type="dxa" w:w="120"/>
            </w:tcMar>
          </w:tcPr>
          <w:p>
            <w:r>
              <w:rPr>
                <w:b w:val="false"/>
                <w:bCs w:val="false"/>
                <w:color w:val="000000"/>
                <w:sz w:val="20"/>
                <w:szCs w:val="20"/>
              </w:rPr>
              <w:t xml:space="preserve">Vitamins &amp; Minerals</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Arranged by vitamin/mineral density</w:t>
            </w:r>
          </w:p>
        </w:tc>
      </w:tr>
    </w:tbl>
    <w:p>
      <w:pPr>
        <w:spacing w:after="240"/>
      </w:pPr>
    </w:p>
    <w:p>
      <w:pPr>
        <w:pStyle w:val="Heading2"/>
        <w:spacing w:after="140" w:before="280"/>
      </w:pPr>
      <w:r>
        <w:rPr>
          <w:b/>
          <w:bCs/>
          <w:color w:val="3C7A54"/>
          <w:sz w:val="24"/>
          <w:szCs w:val="24"/>
        </w:rPr>
        <w:t xml:space="preserve">3.2 Packaging &amp; Branding</w:t>
      </w:r>
    </w:p>
    <w:p>
      <w:pPr>
        <w:spacing w:after="160" w:line="300"/>
      </w:pPr>
      <w:r>
        <w:rPr>
          <w:sz w:val="22"/>
          <w:szCs w:val="22"/>
        </w:rPr>
        <w:t xml:space="preserve">Packaging is intentionally simple and minimal — plain, mostly white with limited accent colour, and minimal plastic use. Every pack carries:</w:t>
      </w:r>
    </w:p>
    <w:p>
      <w:pPr>
        <w:pStyle w:val="ListParagraph"/>
        <w:numPr>
          <w:ilvl w:val="0"/>
          <w:numId w:val="2"/>
        </w:numPr>
        <w:spacing w:after="90"/>
      </w:pPr>
      <w:r>
        <w:rPr>
          <w:sz w:val="22"/>
          <w:szCs w:val="22"/>
        </w:rPr>
        <w:t xml:space="preserve">The Nutriverse store name</w:t>
      </w:r>
    </w:p>
    <w:p>
      <w:pPr>
        <w:pStyle w:val="ListParagraph"/>
        <w:numPr>
          <w:ilvl w:val="0"/>
          <w:numId w:val="2"/>
        </w:numPr>
        <w:spacing w:after="90"/>
      </w:pPr>
      <w:r>
        <w:rPr>
          <w:sz w:val="22"/>
          <w:szCs w:val="22"/>
        </w:rPr>
        <w:t xml:space="preserve">A nutrition panel showing amount and percentage of carbohydrates, protein, vitamins, etc.</w:t>
      </w:r>
    </w:p>
    <w:p>
      <w:pPr>
        <w:pStyle w:val="ListParagraph"/>
        <w:numPr>
          <w:ilvl w:val="0"/>
          <w:numId w:val="2"/>
        </w:numPr>
        <w:spacing w:after="90"/>
      </w:pPr>
      <w:r>
        <w:rPr>
          <w:sz w:val="22"/>
          <w:szCs w:val="22"/>
        </w:rPr>
        <w:t xml:space="preserve">A barcode for scanning in the Nutriverse app</w:t>
      </w:r>
    </w:p>
    <w:p>
      <w:pPr>
        <w:spacing w:after="200"/>
      </w:pPr>
    </w:p>
    <w:p>
      <w:pPr>
        <w:pStyle w:val="Heading1"/>
        <w:spacing w:after="200" w:before="400"/>
      </w:pPr>
      <w:r>
        <w:rPr>
          <w:b/>
          <w:bCs/>
          <w:color w:val="1F3B4D"/>
          <w:sz w:val="30"/>
          <w:szCs w:val="30"/>
        </w:rPr>
        <w:t xml:space="preserve">4. The Nutriverse App</w:t>
      </w:r>
    </w:p>
    <w:p>
      <w:pPr>
        <w:spacing w:after="160" w:line="300"/>
      </w:pPr>
      <w:r>
        <w:rPr>
          <w:sz w:val="22"/>
          <w:szCs w:val="22"/>
        </w:rPr>
        <w:t xml:space="preserve">A companion app lets customers scan a product's barcode to instantly see its nutrient breakdown. The app also includes an AI assistant that customers can ask questions such as:</w:t>
      </w:r>
    </w:p>
    <w:p>
      <w:pPr>
        <w:pStyle w:val="ListParagraph"/>
        <w:numPr>
          <w:ilvl w:val="0"/>
          <w:numId w:val="2"/>
        </w:numPr>
        <w:spacing w:after="90"/>
      </w:pPr>
      <w:r>
        <w:rPr>
          <w:sz w:val="22"/>
          <w:szCs w:val="22"/>
        </w:rPr>
        <w:t xml:space="preserve">“I have this item — can I eat it, given my health profile?”</w:t>
      </w:r>
    </w:p>
    <w:p>
      <w:pPr>
        <w:pStyle w:val="ListParagraph"/>
        <w:numPr>
          <w:ilvl w:val="0"/>
          <w:numId w:val="2"/>
        </w:numPr>
        <w:spacing w:after="90"/>
      </w:pPr>
      <w:r>
        <w:rPr>
          <w:sz w:val="22"/>
          <w:szCs w:val="22"/>
        </w:rPr>
        <w:t xml:space="preserve">“How should I prepare this — boiled, soaked, raw?”</w:t>
      </w:r>
    </w:p>
    <w:p>
      <w:pPr>
        <w:pStyle w:val="ListParagraph"/>
        <w:numPr>
          <w:ilvl w:val="0"/>
          <w:numId w:val="2"/>
        </w:numPr>
        <w:spacing w:after="90"/>
      </w:pPr>
      <w:r>
        <w:rPr>
          <w:sz w:val="22"/>
          <w:szCs w:val="22"/>
        </w:rPr>
        <w:t xml:space="preserve">“What can I cook using this item?”</w:t>
      </w:r>
    </w:p>
    <w:p>
      <w:pPr>
        <w:spacing w:after="200"/>
      </w:pPr>
    </w:p>
    <w:p>
      <w:pPr>
        <w:pStyle w:val="Heading1"/>
        <w:spacing w:after="200" w:before="400"/>
      </w:pPr>
      <w:r>
        <w:rPr>
          <w:b/>
          <w:bCs/>
          <w:color w:val="1F3B4D"/>
          <w:sz w:val="30"/>
          <w:szCs w:val="30"/>
        </w:rPr>
        <w:t xml:space="preserve">5. Calin Packs — The Core Idea</w:t>
      </w:r>
    </w:p>
    <w:p>
      <w:pPr>
        <w:spacing w:after="160" w:line="300"/>
      </w:pPr>
      <w:r>
        <w:rPr>
          <w:sz w:val="22"/>
          <w:szCs w:val="22"/>
        </w:rPr>
        <w:t xml:space="preserve">Calin Packs are the centrepiece of Nutriverse. Each pack bundles everything a person needs to meet their full day's nutrient requirement in one purchase. For example, if a person's daily requirement is 500g of carbohydrates, the pack supplies that amount through items such as rice or potatoes; the same logic applies to the day's required protein, vitamins, and other nutrients — all bundled into a single pack.</w:t>
      </w:r>
    </w:p>
    <w:p>
      <w:pPr>
        <w:pStyle w:val="Heading2"/>
        <w:spacing w:after="140" w:before="280"/>
      </w:pPr>
      <w:r>
        <w:rPr>
          <w:b/>
          <w:bCs/>
          <w:color w:val="3C7A54"/>
          <w:sz w:val="24"/>
          <w:szCs w:val="24"/>
        </w:rPr>
        <w:t xml:space="preserve">5.1 Three Pack Tiers</w:t>
      </w:r>
    </w:p>
    <w:p>
      <w:pPr>
        <w:spacing w:after="160" w:line="300"/>
      </w:pPr>
      <w:r>
        <w:rPr>
          <w:sz w:val="22"/>
          <w:szCs w:val="22"/>
        </w:rPr>
        <w:t xml:space="preserve">Calin Packs come in three tiers, differentiated primarily by the quality/cost of the ingredients used to hit the same nutritional targets — e.g. eggs (Basic) vs. chicken breast (Premium) as the protein source.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400"/>
      </w:tblGrid>
      <w:tr>
        <w:trPr>
          <w:tblHeader/>
        </w:trPr>
        <w:tc>
          <w:tcPr>
            <w:tcW w:type="dxa" w:w="2500"/>
            <w:shd w:fill="1F3B4D" w:val="clear"/>
            <w:tcMar>
              <w:top w:type="dxa" w:w="100"/>
              <w:left w:type="dxa" w:w="120"/>
              <w:bottom w:type="dxa" w:w="100"/>
              <w:right w:type="dxa" w:w="120"/>
            </w:tcMar>
          </w:tcPr>
          <w:p>
            <w:r>
              <w:rPr>
                <w:b/>
                <w:bCs/>
                <w:color w:val="FFFFFF"/>
                <w:sz w:val="20"/>
                <w:szCs w:val="20"/>
              </w:rPr>
              <w:t xml:space="preserve">Feature</w:t>
            </w:r>
          </w:p>
        </w:tc>
        <w:tc>
          <w:tcPr>
            <w:tcW w:type="dxa" w:w="2500"/>
            <w:shd w:fill="1F3B4D" w:val="clear"/>
            <w:tcMar>
              <w:top w:type="dxa" w:w="100"/>
              <w:left w:type="dxa" w:w="120"/>
              <w:bottom w:type="dxa" w:w="100"/>
              <w:right w:type="dxa" w:w="120"/>
            </w:tcMar>
          </w:tcPr>
          <w:p>
            <w:r>
              <w:rPr>
                <w:b/>
                <w:bCs/>
                <w:color w:val="FFFFFF"/>
                <w:sz w:val="20"/>
                <w:szCs w:val="20"/>
              </w:rPr>
              <w:t xml:space="preserve">Basic</w:t>
            </w:r>
          </w:p>
        </w:tc>
        <w:tc>
          <w:tcPr>
            <w:tcW w:type="dxa" w:w="2500"/>
            <w:shd w:fill="1F3B4D" w:val="clear"/>
            <w:tcMar>
              <w:top w:type="dxa" w:w="100"/>
              <w:left w:type="dxa" w:w="120"/>
              <w:bottom w:type="dxa" w:w="100"/>
              <w:right w:type="dxa" w:w="120"/>
            </w:tcMar>
          </w:tcPr>
          <w:p>
            <w:r>
              <w:rPr>
                <w:b/>
                <w:bCs/>
                <w:color w:val="FFFFFF"/>
                <w:sz w:val="20"/>
                <w:szCs w:val="20"/>
              </w:rPr>
              <w:t xml:space="preserve">Minimal Plus</w:t>
            </w:r>
          </w:p>
        </w:tc>
        <w:tc>
          <w:tcPr>
            <w:tcW w:type="dxa" w:w="2500"/>
            <w:shd w:fill="1F3B4D" w:val="clear"/>
            <w:tcMar>
              <w:top w:type="dxa" w:w="100"/>
              <w:left w:type="dxa" w:w="120"/>
              <w:bottom w:type="dxa" w:w="100"/>
              <w:right w:type="dxa" w:w="120"/>
            </w:tcMar>
          </w:tcPr>
          <w:p>
            <w:r>
              <w:rPr>
                <w:b/>
                <w:bCs/>
                <w:color w:val="FFFFFF"/>
                <w:sz w:val="20"/>
                <w:szCs w:val="20"/>
              </w:rPr>
              <w:t xml:space="preserve">Premium</w:t>
            </w:r>
          </w:p>
        </w:tc>
      </w:tr>
      <w:tr>
        <w:tc>
          <w:tcPr>
            <w:tcW w:type="dxa" w:w="2500"/>
            <w:shd w:fill="FFFFFF" w:val="clear"/>
            <w:tcMar>
              <w:top w:type="dxa" w:w="100"/>
              <w:left w:type="dxa" w:w="120"/>
              <w:bottom w:type="dxa" w:w="100"/>
              <w:right w:type="dxa" w:w="120"/>
            </w:tcMar>
          </w:tcPr>
          <w:p>
            <w:r>
              <w:rPr>
                <w:b w:val="false"/>
                <w:bCs w:val="false"/>
                <w:color w:val="000000"/>
                <w:sz w:val="20"/>
                <w:szCs w:val="20"/>
              </w:rPr>
              <w:t xml:space="preserve">Price range (per pack)</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₹600 – ₹800</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₹800 – ₹1,200</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₹1,500 – ₹1,800</w:t>
            </w:r>
          </w:p>
        </w:tc>
      </w:tr>
      <w:tr>
        <w:tc>
          <w:tcPr>
            <w:tcW w:type="dxa" w:w="2500"/>
            <w:shd w:fill="EDF3EE" w:val="clear"/>
            <w:tcMar>
              <w:top w:type="dxa" w:w="100"/>
              <w:left w:type="dxa" w:w="120"/>
              <w:bottom w:type="dxa" w:w="100"/>
              <w:right w:type="dxa" w:w="120"/>
            </w:tcMar>
          </w:tcPr>
          <w:p>
            <w:r>
              <w:rPr>
                <w:b w:val="false"/>
                <w:bCs w:val="false"/>
                <w:color w:val="000000"/>
                <w:sz w:val="20"/>
                <w:szCs w:val="20"/>
              </w:rPr>
              <w:t xml:space="preserve">Protein source</w:t>
            </w:r>
          </w:p>
        </w:tc>
        <w:tc>
          <w:tcPr>
            <w:tcW w:type="dxa" w:w="2500"/>
            <w:shd w:fill="EDF3EE" w:val="clear"/>
            <w:tcMar>
              <w:top w:type="dxa" w:w="100"/>
              <w:left w:type="dxa" w:w="120"/>
              <w:bottom w:type="dxa" w:w="100"/>
              <w:right w:type="dxa" w:w="120"/>
            </w:tcMar>
          </w:tcPr>
          <w:p>
            <w:r>
              <w:rPr>
                <w:b w:val="false"/>
                <w:bCs w:val="false"/>
                <w:color w:val="000000"/>
                <w:sz w:val="20"/>
                <w:szCs w:val="20"/>
              </w:rPr>
              <w:t xml:space="preserve">Eggs, soy chunks, dal</w:t>
            </w:r>
          </w:p>
        </w:tc>
        <w:tc>
          <w:tcPr>
            <w:tcW w:type="dxa" w:w="2500"/>
            <w:shd w:fill="EDF3EE" w:val="clear"/>
            <w:tcMar>
              <w:top w:type="dxa" w:w="100"/>
              <w:left w:type="dxa" w:w="120"/>
              <w:bottom w:type="dxa" w:w="100"/>
              <w:right w:type="dxa" w:w="120"/>
            </w:tcMar>
          </w:tcPr>
          <w:p>
            <w:r>
              <w:rPr>
                <w:b w:val="false"/>
                <w:bCs w:val="false"/>
                <w:color w:val="000000"/>
                <w:sz w:val="20"/>
                <w:szCs w:val="20"/>
              </w:rPr>
              <w:t xml:space="preserve">Paneer, curd, mixed dal + egg</w:t>
            </w:r>
          </w:p>
        </w:tc>
        <w:tc>
          <w:tcPr>
            <w:tcW w:type="dxa" w:w="2500"/>
            <w:shd w:fill="EDF3EE" w:val="clear"/>
            <w:tcMar>
              <w:top w:type="dxa" w:w="100"/>
              <w:left w:type="dxa" w:w="120"/>
              <w:bottom w:type="dxa" w:w="100"/>
              <w:right w:type="dxa" w:w="120"/>
            </w:tcMar>
          </w:tcPr>
          <w:p>
            <w:r>
              <w:rPr>
                <w:b w:val="false"/>
                <w:bCs w:val="false"/>
                <w:color w:val="000000"/>
                <w:sz w:val="20"/>
                <w:szCs w:val="20"/>
              </w:rPr>
              <w:t xml:space="preserve">Chicken breast, fish, egg whites</w:t>
            </w:r>
          </w:p>
        </w:tc>
      </w:tr>
      <w:tr>
        <w:tc>
          <w:tcPr>
            <w:tcW w:type="dxa" w:w="2500"/>
            <w:shd w:fill="FFFFFF" w:val="clear"/>
            <w:tcMar>
              <w:top w:type="dxa" w:w="100"/>
              <w:left w:type="dxa" w:w="120"/>
              <w:bottom w:type="dxa" w:w="100"/>
              <w:right w:type="dxa" w:w="120"/>
            </w:tcMar>
          </w:tcPr>
          <w:p>
            <w:r>
              <w:rPr>
                <w:b w:val="false"/>
                <w:bCs w:val="false"/>
                <w:color w:val="000000"/>
                <w:sz w:val="20"/>
                <w:szCs w:val="20"/>
              </w:rPr>
              <w:t xml:space="preserve">Carb source</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Rice, potato</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Rice/millets, sweet potato</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Multigrain, quinoa, brown rice</w:t>
            </w:r>
          </w:p>
        </w:tc>
      </w:tr>
      <w:tr>
        <w:tc>
          <w:tcPr>
            <w:tcW w:type="dxa" w:w="2500"/>
            <w:shd w:fill="EDF3EE" w:val="clear"/>
            <w:tcMar>
              <w:top w:type="dxa" w:w="100"/>
              <w:left w:type="dxa" w:w="120"/>
              <w:bottom w:type="dxa" w:w="100"/>
              <w:right w:type="dxa" w:w="120"/>
            </w:tcMar>
          </w:tcPr>
          <w:p>
            <w:r>
              <w:rPr>
                <w:b w:val="false"/>
                <w:bCs w:val="false"/>
                <w:color w:val="000000"/>
                <w:sz w:val="20"/>
                <w:szCs w:val="20"/>
              </w:rPr>
              <w:t xml:space="preserve">Fats/Vitamins</w:t>
            </w:r>
          </w:p>
        </w:tc>
        <w:tc>
          <w:tcPr>
            <w:tcW w:type="dxa" w:w="2500"/>
            <w:shd w:fill="EDF3EE" w:val="clear"/>
            <w:tcMar>
              <w:top w:type="dxa" w:w="100"/>
              <w:left w:type="dxa" w:w="120"/>
              <w:bottom w:type="dxa" w:w="100"/>
              <w:right w:type="dxa" w:w="120"/>
            </w:tcMar>
          </w:tcPr>
          <w:p>
            <w:r>
              <w:rPr>
                <w:b w:val="false"/>
                <w:bCs w:val="false"/>
                <w:color w:val="000000"/>
                <w:sz w:val="20"/>
                <w:szCs w:val="20"/>
              </w:rPr>
              <w:t xml:space="preserve">Basic seasonal veg &amp; fruit</w:t>
            </w:r>
          </w:p>
        </w:tc>
        <w:tc>
          <w:tcPr>
            <w:tcW w:type="dxa" w:w="2500"/>
            <w:shd w:fill="EDF3EE" w:val="clear"/>
            <w:tcMar>
              <w:top w:type="dxa" w:w="100"/>
              <w:left w:type="dxa" w:w="120"/>
              <w:bottom w:type="dxa" w:w="100"/>
              <w:right w:type="dxa" w:w="120"/>
            </w:tcMar>
          </w:tcPr>
          <w:p>
            <w:r>
              <w:rPr>
                <w:b w:val="false"/>
                <w:bCs w:val="false"/>
                <w:color w:val="000000"/>
                <w:sz w:val="20"/>
                <w:szCs w:val="20"/>
              </w:rPr>
              <w:t xml:space="preserve">Wider veg/fruit variety, nuts (small)</w:t>
            </w:r>
          </w:p>
        </w:tc>
        <w:tc>
          <w:tcPr>
            <w:tcW w:type="dxa" w:w="2500"/>
            <w:shd w:fill="EDF3EE" w:val="clear"/>
            <w:tcMar>
              <w:top w:type="dxa" w:w="100"/>
              <w:left w:type="dxa" w:w="120"/>
              <w:bottom w:type="dxa" w:w="100"/>
              <w:right w:type="dxa" w:w="120"/>
            </w:tcMar>
          </w:tcPr>
          <w:p>
            <w:r>
              <w:rPr>
                <w:b w:val="false"/>
                <w:bCs w:val="false"/>
                <w:color w:val="000000"/>
                <w:sz w:val="20"/>
                <w:szCs w:val="20"/>
              </w:rPr>
              <w:t xml:space="preserve">Premium veg/fruit, nuts &amp; seeds, greens</w:t>
            </w:r>
          </w:p>
        </w:tc>
      </w:tr>
      <w:tr>
        <w:tc>
          <w:tcPr>
            <w:tcW w:type="dxa" w:w="2500"/>
            <w:shd w:fill="FFFFFF" w:val="clear"/>
            <w:tcMar>
              <w:top w:type="dxa" w:w="100"/>
              <w:left w:type="dxa" w:w="120"/>
              <w:bottom w:type="dxa" w:w="100"/>
              <w:right w:type="dxa" w:w="120"/>
            </w:tcMar>
          </w:tcPr>
          <w:p>
            <w:r>
              <w:rPr>
                <w:b w:val="false"/>
                <w:bCs w:val="false"/>
                <w:color w:val="000000"/>
                <w:sz w:val="20"/>
                <w:szCs w:val="20"/>
              </w:rPr>
              <w:t xml:space="preserve">Positioning</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Budget-conscious, daily essential nutrition</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Balanced quality-to-cost</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High-quality, premium proteins &amp; variety</w:t>
            </w:r>
          </w:p>
        </w:tc>
      </w:tr>
    </w:tbl>
    <w:p>
      <w:pPr>
        <w:spacing w:after="240"/>
      </w:pPr>
    </w:p>
    <w:p>
      <w:pPr>
        <w:spacing w:after="160" w:line="300"/>
      </w:pPr>
      <w:r>
        <w:rPr>
          <w:i/>
          <w:iCs/>
          <w:color w:val="6B6B6B"/>
          <w:sz w:val="20"/>
          <w:szCs w:val="20"/>
        </w:rPr>
        <w:t xml:space="preserve">(Prices above are indicative examples and will be refined with actual sourcing costs.)</w:t>
      </w:r>
    </w:p>
    <w:p>
      <w:pPr>
        <w:pStyle w:val="Heading2"/>
        <w:spacing w:after="140" w:before="280"/>
      </w:pPr>
      <w:r>
        <w:rPr>
          <w:b/>
          <w:bCs/>
          <w:color w:val="3C7A54"/>
          <w:sz w:val="24"/>
          <w:szCs w:val="24"/>
        </w:rPr>
        <w:t xml:space="preserve">5.2 In-Store Nutritionist &amp; Personalisation</w:t>
      </w:r>
    </w:p>
    <w:p>
      <w:pPr>
        <w:spacing w:after="160" w:line="300"/>
      </w:pPr>
      <w:r>
        <w:rPr>
          <w:sz w:val="22"/>
          <w:szCs w:val="22"/>
        </w:rPr>
        <w:t xml:space="preserve">A nutritionist is available in-store to help customers customise a Calin Pack around personal health conditions. For example, a customer with diabetes who is also iron-deficient would not be recommended jaggery as a sugar/iron source — the nutritionist adjusts the pack composition accordingly, and the customer finalises a personalised pack.</w:t>
      </w:r>
    </w:p>
    <w:p>
      <w:pPr>
        <w:pStyle w:val="Heading2"/>
        <w:spacing w:after="140" w:before="280"/>
      </w:pPr>
      <w:r>
        <w:rPr>
          <w:b/>
          <w:bCs/>
          <w:color w:val="3C7A54"/>
          <w:sz w:val="24"/>
          <w:szCs w:val="24"/>
        </w:rPr>
        <w:t xml:space="preserve">5.3 Home Delivery &amp; Subscriptions</w:t>
      </w:r>
    </w:p>
    <w:p>
      <w:pPr>
        <w:spacing w:after="160" w:line="300"/>
      </w:pPr>
      <w:r>
        <w:rPr>
          <w:sz w:val="22"/>
          <w:szCs w:val="22"/>
        </w:rPr>
        <w:t xml:space="preserve">Calin Packs can be delivered directly to the customer's home. A monthly subscription option delivers the pack each morning, before the customer's day begins, so the day's nutrition is ready to go.</w:t>
      </w:r>
    </w:p>
    <w:p>
      <w:pPr>
        <w:pStyle w:val="Heading2"/>
        <w:spacing w:after="140" w:before="280"/>
      </w:pPr>
      <w:r>
        <w:rPr>
          <w:b/>
          <w:bCs/>
          <w:color w:val="3C7A54"/>
          <w:sz w:val="24"/>
          <w:szCs w:val="24"/>
        </w:rPr>
        <w:t xml:space="preserve">5.4 Walk-In Retail Option</w:t>
      </w:r>
    </w:p>
    <w:p>
      <w:pPr>
        <w:spacing w:after="160" w:line="300"/>
      </w:pPr>
      <w:r>
        <w:rPr>
          <w:sz w:val="22"/>
          <w:szCs w:val="22"/>
        </w:rPr>
        <w:t xml:space="preserve">Customers who don't want a pre-built pack can simply walk into the store and shop for groceries individually, the way they would at any regular grocery store or supermarket.</w:t>
      </w:r>
    </w:p>
    <w:p>
      <w:pPr>
        <w:pStyle w:val="Heading1"/>
        <w:spacing w:after="200" w:before="400"/>
      </w:pPr>
      <w:r>
        <w:rPr>
          <w:b/>
          <w:bCs/>
          <w:color w:val="1F3B4D"/>
          <w:sz w:val="30"/>
          <w:szCs w:val="30"/>
        </w:rPr>
        <w:t xml:space="preserve">6. Recommended Improvements</w:t>
      </w:r>
    </w:p>
    <w:p>
      <w:pPr>
        <w:pStyle w:val="Heading2"/>
        <w:spacing w:after="140" w:before="280"/>
      </w:pPr>
      <w:r>
        <w:rPr>
          <w:b/>
          <w:bCs/>
          <w:color w:val="3C7A54"/>
          <w:sz w:val="24"/>
          <w:szCs w:val="24"/>
        </w:rPr>
        <w:t xml:space="preserve">6.1 Clarify Pack Duration &amp; Pricing</w:t>
      </w:r>
    </w:p>
    <w:p>
      <w:pPr>
        <w:spacing w:after="160" w:line="300"/>
      </w:pPr>
      <w:r>
        <w:rPr>
          <w:sz w:val="22"/>
          <w:szCs w:val="22"/>
        </w:rPr>
        <w:t xml:space="preserve">At ₹600–₹1,800, a Calin Pack priced per day is significantly above typical daily grocery spend for most Indian households, and only a health-conscious, higher-income urban segment will subscribe at that price point every single day. Two fixes:</w:t>
      </w:r>
    </w:p>
    <w:p>
      <w:pPr>
        <w:pStyle w:val="ListParagraph"/>
        <w:numPr>
          <w:ilvl w:val="0"/>
          <w:numId w:val="2"/>
        </w:numPr>
        <w:spacing w:after="90"/>
      </w:pPr>
      <w:r>
        <w:rPr>
          <w:sz w:val="22"/>
          <w:szCs w:val="22"/>
        </w:rPr>
        <w:t xml:space="preserve">Explicitly decide and market pack duration — a daily pack for premium urban professionals, plus a more affordable weekly/family pack aimed at a wider audience.</w:t>
      </w:r>
    </w:p>
    <w:p>
      <w:pPr>
        <w:pStyle w:val="ListParagraph"/>
        <w:numPr>
          <w:ilvl w:val="0"/>
          <w:numId w:val="2"/>
        </w:numPr>
        <w:spacing w:after="90"/>
      </w:pPr>
      <w:r>
        <w:rPr>
          <w:sz w:val="22"/>
          <w:szCs w:val="22"/>
        </w:rPr>
        <w:t xml:space="preserve">Segment the target customer explicitly (fitness-focused professionals, people managing a health condition, new parents, elderly) so the nutritionist layer and app messaging can speak directly to each group.</w:t>
      </w:r>
    </w:p>
    <w:p>
      <w:pPr>
        <w:pStyle w:val="Heading2"/>
        <w:spacing w:after="140" w:before="280"/>
      </w:pPr>
      <w:r>
        <w:rPr>
          <w:b/>
          <w:bCs/>
          <w:color w:val="3C7A54"/>
          <w:sz w:val="24"/>
          <w:szCs w:val="24"/>
        </w:rPr>
        <w:t xml:space="preserve">6.2 Phase the Rollout to De-Risk Capital</w:t>
      </w:r>
    </w:p>
    <w:p>
      <w:pPr>
        <w:spacing w:after="160" w:line="300"/>
      </w:pPr>
      <w:r>
        <w:rPr>
          <w:sz w:val="22"/>
          <w:szCs w:val="22"/>
        </w:rPr>
        <w:t xml:space="preserve">Combining a physical grocery store, a subscription meal-bundle service, a health-tech app, and in-person nutrition consulting is effectively four businesses launched at once — high complexity and high upfront capital for a first venture. A phased build reduces risk:</w:t>
      </w:r>
    </w:p>
    <w:p>
      <w:pPr>
        <w:pStyle w:val="ListParagraph"/>
        <w:numPr>
          <w:ilvl w:val="0"/>
          <w:numId w:val="2"/>
        </w:numPr>
        <w:spacing w:after="90"/>
      </w:pPr>
      <w:r>
        <w:rPr>
          <w:sz w:val="22"/>
          <w:szCs w:val="22"/>
        </w:rPr>
        <w:t xml:space="preserve">Phase 1: Launch the app + Calin Pack subscription only (asset-light), fulfilled from a small kitchen/packing unit or a partner kirana, to validate real demand and refine pack composition and pricing.</w:t>
      </w:r>
    </w:p>
    <w:p>
      <w:pPr>
        <w:pStyle w:val="ListParagraph"/>
        <w:numPr>
          <w:ilvl w:val="0"/>
          <w:numId w:val="2"/>
        </w:numPr>
        <w:spacing w:after="90"/>
      </w:pPr>
      <w:r>
        <w:rPr>
          <w:sz w:val="22"/>
          <w:szCs w:val="22"/>
        </w:rPr>
        <w:t xml:space="preserve">Phase 2: Once a base of paying subscribers is proven, open the flagship nutrient-organised store as a fulfilment hub and brand experience centre, rather than competing head-on with DMart/BigBasket on full grocery breadth from day one.</w:t>
      </w:r>
    </w:p>
    <w:p>
      <w:pPr>
        <w:pStyle w:val="ListParagraph"/>
        <w:numPr>
          <w:ilvl w:val="0"/>
          <w:numId w:val="2"/>
        </w:numPr>
        <w:spacing w:after="90"/>
      </w:pPr>
      <w:r>
        <w:rPr>
          <w:sz w:val="22"/>
          <w:szCs w:val="22"/>
        </w:rPr>
        <w:t xml:space="preserve">Phase 3: Expand to additional stores / dark-store hubs once unit economics on Phase 1–2 are proven.</w:t>
      </w:r>
    </w:p>
    <w:p>
      <w:pPr>
        <w:pStyle w:val="Heading2"/>
        <w:spacing w:after="140" w:before="280"/>
      </w:pPr>
      <w:r>
        <w:rPr>
          <w:b/>
          <w:bCs/>
          <w:color w:val="3C7A54"/>
          <w:sz w:val="24"/>
          <w:szCs w:val="24"/>
        </w:rPr>
        <w:t xml:space="preserve">6.3 Supply Chain &amp; Waste Control</w:t>
      </w:r>
    </w:p>
    <w:p>
      <w:pPr>
        <w:pStyle w:val="ListParagraph"/>
        <w:numPr>
          <w:ilvl w:val="0"/>
          <w:numId w:val="2"/>
        </w:numPr>
        <w:spacing w:after="90"/>
      </w:pPr>
      <w:r>
        <w:rPr>
          <w:sz w:val="22"/>
          <w:szCs w:val="22"/>
        </w:rPr>
        <w:t xml:space="preserve">Source perishables (fish, eggs, vegetables) just-in-time against confirmed subscriber counts, rather than speculative shelf stock — spoilage and slow-moving inventory are the biggest hidden cost in grocery retail.</w:t>
      </w:r>
    </w:p>
    <w:p>
      <w:pPr>
        <w:pStyle w:val="ListParagraph"/>
        <w:numPr>
          <w:ilvl w:val="0"/>
          <w:numId w:val="2"/>
        </w:numPr>
        <w:spacing w:after="90"/>
      </w:pPr>
      <w:r>
        <w:rPr>
          <w:sz w:val="22"/>
          <w:szCs w:val="22"/>
        </w:rPr>
        <w:t xml:space="preserve">Launch with shelf-stable Calin Pack components (rice, dal, millets, nuts) and partner with a local fresh-produce vendor for perishables initially, instead of owning the full cold chain from day one.</w:t>
      </w:r>
    </w:p>
    <w:p>
      <w:pPr>
        <w:pStyle w:val="ListParagraph"/>
        <w:numPr>
          <w:ilvl w:val="0"/>
          <w:numId w:val="2"/>
        </w:numPr>
        <w:spacing w:after="90"/>
      </w:pPr>
      <w:r>
        <w:rPr>
          <w:sz w:val="22"/>
          <w:szCs w:val="22"/>
        </w:rPr>
        <w:t xml:space="preserve">Use the app's pre-order/subscription data to plan next-day procurement precisely.</w:t>
      </w:r>
    </w:p>
    <w:p>
      <w:pPr>
        <w:pStyle w:val="Heading2"/>
        <w:spacing w:after="140" w:before="280"/>
      </w:pPr>
      <w:r>
        <w:rPr>
          <w:b/>
          <w:bCs/>
          <w:color w:val="3C7A54"/>
          <w:sz w:val="24"/>
          <w:szCs w:val="24"/>
        </w:rPr>
        <w:t xml:space="preserve">6.4 Regulatory &amp; Trust Safeguards</w:t>
      </w:r>
    </w:p>
    <w:p>
      <w:pPr>
        <w:pStyle w:val="ListParagraph"/>
        <w:numPr>
          <w:ilvl w:val="0"/>
          <w:numId w:val="2"/>
        </w:numPr>
        <w:spacing w:after="90"/>
      </w:pPr>
      <w:r>
        <w:rPr>
          <w:sz w:val="22"/>
          <w:szCs w:val="22"/>
        </w:rPr>
        <w:t xml:space="preserve">FSSAI food business licensing is mandatory for both the store and any packaged/delivered food.</w:t>
      </w:r>
    </w:p>
    <w:p>
      <w:pPr>
        <w:pStyle w:val="ListParagraph"/>
        <w:numPr>
          <w:ilvl w:val="0"/>
          <w:numId w:val="2"/>
        </w:numPr>
        <w:spacing w:after="90"/>
      </w:pPr>
      <w:r>
        <w:rPr>
          <w:sz w:val="22"/>
          <w:szCs w:val="22"/>
        </w:rPr>
        <w:t xml:space="preserve">Position the AI assistant as general guidance only, with a clear “not medical advice, consult your doctor” disclaimer — any recommendation tied to a diagnosed condition (diabetes, anaemia, etc.) should be reviewed or signed off by a qualified/registered dietitian, not generated by AI alone. This protects customers and limits liability.</w:t>
      </w:r>
    </w:p>
    <w:p>
      <w:pPr>
        <w:pStyle w:val="ListParagraph"/>
        <w:numPr>
          <w:ilvl w:val="0"/>
          <w:numId w:val="2"/>
        </w:numPr>
        <w:spacing w:after="90"/>
      </w:pPr>
      <w:r>
        <w:rPr>
          <w:sz w:val="22"/>
          <w:szCs w:val="22"/>
        </w:rPr>
        <w:t xml:space="preserve">Handle health-profile data collected in the app (conditions, deficiencies) with explicit consent and strong data-privacy practices.</w:t>
      </w:r>
    </w:p>
    <w:p>
      <w:pPr>
        <w:pStyle w:val="Heading2"/>
        <w:spacing w:after="140" w:before="280"/>
      </w:pPr>
      <w:r>
        <w:rPr>
          <w:b/>
          <w:bCs/>
          <w:color w:val="3C7A54"/>
          <w:sz w:val="24"/>
          <w:szCs w:val="24"/>
        </w:rPr>
        <w:t xml:space="preserve">6.5 Retention &amp; Growth Levers</w:t>
      </w:r>
    </w:p>
    <w:p>
      <w:pPr>
        <w:pStyle w:val="ListParagraph"/>
        <w:numPr>
          <w:ilvl w:val="0"/>
          <w:numId w:val="2"/>
        </w:numPr>
        <w:spacing w:after="90"/>
      </w:pPr>
      <w:r>
        <w:rPr>
          <w:sz w:val="22"/>
          <w:szCs w:val="22"/>
        </w:rPr>
        <w:t xml:space="preserve">Meal-kit-style subscriptions typically see high monthly churn industry-wide, so build in flexible skip/pause options, streak or goal-tracking features in the app, and proactive check-ins to keep subscribers active.</w:t>
      </w:r>
    </w:p>
    <w:p>
      <w:pPr>
        <w:pStyle w:val="ListParagraph"/>
        <w:numPr>
          <w:ilvl w:val="0"/>
          <w:numId w:val="2"/>
        </w:numPr>
        <w:spacing w:after="90"/>
      </w:pPr>
      <w:r>
        <w:rPr>
          <w:sz w:val="22"/>
          <w:szCs w:val="22"/>
        </w:rPr>
        <w:t xml:space="preserve">Add a referral programme — subscription businesses generally see acquisition cost recovered faster through referrals than paid ads.</w:t>
      </w:r>
    </w:p>
    <w:p>
      <w:pPr>
        <w:pStyle w:val="ListParagraph"/>
        <w:numPr>
          <w:ilvl w:val="0"/>
          <w:numId w:val="2"/>
        </w:numPr>
        <w:spacing w:after="90"/>
      </w:pPr>
      <w:r>
        <w:rPr>
          <w:sz w:val="22"/>
          <w:szCs w:val="22"/>
        </w:rPr>
        <w:t xml:space="preserve">Pursue corporate/B2B wellness contracts (offices, gyms, hospitals) as a higher-volume channel alongside individual subscribers.</w:t>
      </w:r>
    </w:p>
    <w:p>
      <w:pPr>
        <w:pStyle w:val="ListParagraph"/>
        <w:numPr>
          <w:ilvl w:val="0"/>
          <w:numId w:val="2"/>
        </w:numPr>
        <w:spacing w:after="90"/>
      </w:pPr>
      <w:r>
        <w:rPr>
          <w:sz w:val="22"/>
          <w:szCs w:val="22"/>
        </w:rPr>
        <w:t xml:space="preserve">Use barcode-scan and health-profile data (with consent) to personalise upsell — e.g. nudging a Basic subscriber toward Minimal Plus based on their actual eating patterns.</w:t>
      </w:r>
    </w:p>
    <w:p>
      <w:pPr>
        <w:pStyle w:val="Heading1"/>
        <w:spacing w:after="200" w:before="400"/>
      </w:pPr>
      <w:r>
        <w:rPr>
          <w:b/>
          <w:bCs/>
          <w:color w:val="1F3B4D"/>
          <w:sz w:val="30"/>
          <w:szCs w:val="30"/>
        </w:rPr>
        <w:t xml:space="preserve">7. Revenue Potential — Illustrative Estimates</w:t>
      </w:r>
    </w:p>
    <w:p>
      <w:pPr>
        <w:pBdr>
          <w:left w:val="single" w:color="3C7A54" w:sz="24" w:space="8"/>
        </w:pBdr>
        <w:shd w:fill="EDF3EE" w:val="clear"/>
        <w:spacing w:after="240" w:before="160"/>
        <w:ind w:left="100"/>
      </w:pPr>
      <w:r>
        <w:rPr>
          <w:b w:val="false"/>
          <w:bCs w:val="false"/>
          <w:i/>
          <w:iCs/>
          <w:sz w:val="22"/>
          <w:szCs w:val="22"/>
        </w:rPr>
        <w:t xml:space="preserve">These are indicative, modelled estimates built on assumptions below — not guarantees, and not financial advice. They're meant to test whether the concept can plausibly work on paper; real numbers should be validated through a pilot before committing significant capital.</w:t>
      </w:r>
    </w:p>
    <w:p>
      <w:pPr>
        <w:spacing w:after="160" w:line="300"/>
      </w:pPr>
      <w:r>
        <w:rPr>
          <w:sz w:val="22"/>
          <w:szCs w:val="22"/>
        </w:rPr>
        <w:t xml:space="preserve">Figures are for one flagship store/fulfilment hub in its first year, combining walk-in grocery sales, Calin Pack subscriptions, paid nutritionist consults, and (in the best case) corporate contracts. Fixed operating costs include rent, staff, utilities, delivery, and marketing; they exclude one-time setup capital (store fit-out, initial inventory, and app development), which independent market data suggests runs roughly ₹25–35 lakh for a pilot store plus app MVP.</w:t>
      </w:r>
    </w:p>
    <w:p>
      <w:pPr>
        <w:pStyle w:val="Heading2"/>
        <w:spacing w:after="140" w:before="280"/>
      </w:pPr>
      <w:r>
        <w:rPr>
          <w:b/>
          <w:bCs/>
          <w:color w:val="3C7A54"/>
          <w:sz w:val="24"/>
          <w:szCs w:val="24"/>
        </w:rPr>
        <w:t xml:space="preserve">7.1 Assumptions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rPr>
          <w:tblHeader/>
        </w:trPr>
        <w:tc>
          <w:tcPr>
            <w:tcW w:type="dxa" w:w="3400"/>
            <w:shd w:fill="1F3B4D" w:val="clear"/>
            <w:tcMar>
              <w:top w:type="dxa" w:w="100"/>
              <w:left w:type="dxa" w:w="120"/>
              <w:bottom w:type="dxa" w:w="100"/>
              <w:right w:type="dxa" w:w="120"/>
            </w:tcMar>
          </w:tcPr>
          <w:p>
            <w:r>
              <w:rPr>
                <w:b/>
                <w:bCs/>
                <w:color w:val="FFFFFF"/>
                <w:sz w:val="20"/>
                <w:szCs w:val="20"/>
              </w:rPr>
              <w:t xml:space="preserve">Assumption</w:t>
            </w:r>
          </w:p>
        </w:tc>
        <w:tc>
          <w:tcPr>
            <w:tcW w:type="dxa" w:w="2200"/>
            <w:shd w:fill="1F3B4D" w:val="clear"/>
            <w:tcMar>
              <w:top w:type="dxa" w:w="100"/>
              <w:left w:type="dxa" w:w="120"/>
              <w:bottom w:type="dxa" w:w="100"/>
              <w:right w:type="dxa" w:w="120"/>
            </w:tcMar>
          </w:tcPr>
          <w:p>
            <w:r>
              <w:rPr>
                <w:b/>
                <w:bCs/>
                <w:color w:val="FFFFFF"/>
                <w:sz w:val="20"/>
                <w:szCs w:val="20"/>
              </w:rPr>
              <w:t xml:space="preserve">Worst case</w:t>
            </w:r>
          </w:p>
        </w:tc>
        <w:tc>
          <w:tcPr>
            <w:tcW w:type="dxa" w:w="2200"/>
            <w:shd w:fill="1F3B4D" w:val="clear"/>
            <w:tcMar>
              <w:top w:type="dxa" w:w="100"/>
              <w:left w:type="dxa" w:w="120"/>
              <w:bottom w:type="dxa" w:w="100"/>
              <w:right w:type="dxa" w:w="120"/>
            </w:tcMar>
          </w:tcPr>
          <w:p>
            <w:r>
              <w:rPr>
                <w:b/>
                <w:bCs/>
                <w:color w:val="FFFFFF"/>
                <w:sz w:val="20"/>
                <w:szCs w:val="20"/>
              </w:rPr>
              <w:t xml:space="preserve">Average case</w:t>
            </w:r>
          </w:p>
        </w:tc>
        <w:tc>
          <w:tcPr>
            <w:tcW w:type="dxa" w:w="2200"/>
            <w:shd w:fill="1F3B4D" w:val="clear"/>
            <w:tcMar>
              <w:top w:type="dxa" w:w="100"/>
              <w:left w:type="dxa" w:w="120"/>
              <w:bottom w:type="dxa" w:w="100"/>
              <w:right w:type="dxa" w:w="120"/>
            </w:tcMar>
          </w:tcPr>
          <w:p>
            <w:r>
              <w:rPr>
                <w:b/>
                <w:bCs/>
                <w:color w:val="FFFFFF"/>
                <w:sz w:val="20"/>
                <w:szCs w:val="20"/>
              </w:rPr>
              <w:t xml:space="preserve">Best case</w:t>
            </w:r>
          </w:p>
        </w:tc>
      </w:tr>
      <w:tr>
        <w:tc>
          <w:tcPr>
            <w:tcW w:type="dxa" w:w="3400"/>
            <w:shd w:fill="FFFFFF" w:val="clear"/>
            <w:tcMar>
              <w:top w:type="dxa" w:w="100"/>
              <w:left w:type="dxa" w:w="120"/>
              <w:bottom w:type="dxa" w:w="100"/>
              <w:right w:type="dxa" w:w="120"/>
            </w:tcMar>
          </w:tcPr>
          <w:p>
            <w:r>
              <w:rPr>
                <w:b/>
                <w:bCs/>
                <w:sz w:val="20"/>
                <w:szCs w:val="20"/>
              </w:rPr>
              <w:t xml:space="preserve">Walk-in footfall / day</w:t>
            </w:r>
          </w:p>
        </w:tc>
        <w:tc>
          <w:tcPr>
            <w:tcW w:type="dxa" w:w="2200"/>
            <w:shd w:fill="FFFFFF" w:val="clear"/>
            <w:tcMar>
              <w:top w:type="dxa" w:w="100"/>
              <w:left w:type="dxa" w:w="120"/>
              <w:bottom w:type="dxa" w:w="100"/>
              <w:right w:type="dxa" w:w="120"/>
            </w:tcMar>
          </w:tcPr>
          <w:p>
            <w:r>
              <w:rPr>
                <w:b w:val="false"/>
                <w:bCs w:val="false"/>
                <w:sz w:val="20"/>
                <w:szCs w:val="20"/>
              </w:rPr>
              <w:t xml:space="preserve">25</w:t>
            </w:r>
          </w:p>
        </w:tc>
        <w:tc>
          <w:tcPr>
            <w:tcW w:type="dxa" w:w="2200"/>
            <w:shd w:fill="FFFFFF" w:val="clear"/>
            <w:tcMar>
              <w:top w:type="dxa" w:w="100"/>
              <w:left w:type="dxa" w:w="120"/>
              <w:bottom w:type="dxa" w:w="100"/>
              <w:right w:type="dxa" w:w="120"/>
            </w:tcMar>
          </w:tcPr>
          <w:p>
            <w:r>
              <w:rPr>
                <w:b w:val="false"/>
                <w:bCs w:val="false"/>
                <w:sz w:val="20"/>
                <w:szCs w:val="20"/>
              </w:rPr>
              <w:t xml:space="preserve">60</w:t>
            </w:r>
          </w:p>
        </w:tc>
        <w:tc>
          <w:tcPr>
            <w:tcW w:type="dxa" w:w="2200"/>
            <w:shd w:fill="FFFFFF" w:val="clear"/>
            <w:tcMar>
              <w:top w:type="dxa" w:w="100"/>
              <w:left w:type="dxa" w:w="120"/>
              <w:bottom w:type="dxa" w:w="100"/>
              <w:right w:type="dxa" w:w="120"/>
            </w:tcMar>
          </w:tcPr>
          <w:p>
            <w:r>
              <w:rPr>
                <w:b w:val="false"/>
                <w:bCs w:val="false"/>
                <w:sz w:val="20"/>
                <w:szCs w:val="20"/>
              </w:rPr>
              <w:t xml:space="preserve">120</w:t>
            </w:r>
          </w:p>
        </w:tc>
      </w:tr>
      <w:tr>
        <w:tc>
          <w:tcPr>
            <w:tcW w:type="dxa" w:w="3400"/>
            <w:shd w:fill="EDF3EE" w:val="clear"/>
            <w:tcMar>
              <w:top w:type="dxa" w:w="100"/>
              <w:left w:type="dxa" w:w="120"/>
              <w:bottom w:type="dxa" w:w="100"/>
              <w:right w:type="dxa" w:w="120"/>
            </w:tcMar>
          </w:tcPr>
          <w:p>
            <w:r>
              <w:rPr>
                <w:b/>
                <w:bCs/>
                <w:sz w:val="20"/>
                <w:szCs w:val="20"/>
              </w:rPr>
              <w:t xml:space="preserve">Avg. walk-in basket size</w:t>
            </w:r>
          </w:p>
        </w:tc>
        <w:tc>
          <w:tcPr>
            <w:tcW w:type="dxa" w:w="2200"/>
            <w:shd w:fill="EDF3EE" w:val="clear"/>
            <w:tcMar>
              <w:top w:type="dxa" w:w="100"/>
              <w:left w:type="dxa" w:w="120"/>
              <w:bottom w:type="dxa" w:w="100"/>
              <w:right w:type="dxa" w:w="120"/>
            </w:tcMar>
          </w:tcPr>
          <w:p>
            <w:r>
              <w:rPr>
                <w:b w:val="false"/>
                <w:bCs w:val="false"/>
                <w:sz w:val="20"/>
                <w:szCs w:val="20"/>
              </w:rPr>
              <w:t xml:space="preserve">₹250</w:t>
            </w:r>
          </w:p>
        </w:tc>
        <w:tc>
          <w:tcPr>
            <w:tcW w:type="dxa" w:w="2200"/>
            <w:shd w:fill="EDF3EE" w:val="clear"/>
            <w:tcMar>
              <w:top w:type="dxa" w:w="100"/>
              <w:left w:type="dxa" w:w="120"/>
              <w:bottom w:type="dxa" w:w="100"/>
              <w:right w:type="dxa" w:w="120"/>
            </w:tcMar>
          </w:tcPr>
          <w:p>
            <w:r>
              <w:rPr>
                <w:b w:val="false"/>
                <w:bCs w:val="false"/>
                <w:sz w:val="20"/>
                <w:szCs w:val="20"/>
              </w:rPr>
              <w:t xml:space="preserve">₹350</w:t>
            </w:r>
          </w:p>
        </w:tc>
        <w:tc>
          <w:tcPr>
            <w:tcW w:type="dxa" w:w="2200"/>
            <w:shd w:fill="EDF3EE" w:val="clear"/>
            <w:tcMar>
              <w:top w:type="dxa" w:w="100"/>
              <w:left w:type="dxa" w:w="120"/>
              <w:bottom w:type="dxa" w:w="100"/>
              <w:right w:type="dxa" w:w="120"/>
            </w:tcMar>
          </w:tcPr>
          <w:p>
            <w:r>
              <w:rPr>
                <w:b w:val="false"/>
                <w:bCs w:val="false"/>
                <w:sz w:val="20"/>
                <w:szCs w:val="20"/>
              </w:rPr>
              <w:t xml:space="preserve">₹450</w:t>
            </w:r>
          </w:p>
        </w:tc>
      </w:tr>
      <w:tr>
        <w:tc>
          <w:tcPr>
            <w:tcW w:type="dxa" w:w="3400"/>
            <w:shd w:fill="FFFFFF" w:val="clear"/>
            <w:tcMar>
              <w:top w:type="dxa" w:w="100"/>
              <w:left w:type="dxa" w:w="120"/>
              <w:bottom w:type="dxa" w:w="100"/>
              <w:right w:type="dxa" w:w="120"/>
            </w:tcMar>
          </w:tcPr>
          <w:p>
            <w:r>
              <w:rPr>
                <w:b/>
                <w:bCs/>
                <w:sz w:val="20"/>
                <w:szCs w:val="20"/>
              </w:rPr>
              <w:t xml:space="preserve">Grocery gross margin</w:t>
            </w:r>
          </w:p>
        </w:tc>
        <w:tc>
          <w:tcPr>
            <w:tcW w:type="dxa" w:w="2200"/>
            <w:shd w:fill="FFFFFF" w:val="clear"/>
            <w:tcMar>
              <w:top w:type="dxa" w:w="100"/>
              <w:left w:type="dxa" w:w="120"/>
              <w:bottom w:type="dxa" w:w="100"/>
              <w:right w:type="dxa" w:w="120"/>
            </w:tcMar>
          </w:tcPr>
          <w:p>
            <w:r>
              <w:rPr>
                <w:b w:val="false"/>
                <w:bCs w:val="false"/>
                <w:sz w:val="20"/>
                <w:szCs w:val="20"/>
              </w:rPr>
              <w:t xml:space="preserve">12%</w:t>
            </w:r>
          </w:p>
        </w:tc>
        <w:tc>
          <w:tcPr>
            <w:tcW w:type="dxa" w:w="2200"/>
            <w:shd w:fill="FFFFFF" w:val="clear"/>
            <w:tcMar>
              <w:top w:type="dxa" w:w="100"/>
              <w:left w:type="dxa" w:w="120"/>
              <w:bottom w:type="dxa" w:w="100"/>
              <w:right w:type="dxa" w:w="120"/>
            </w:tcMar>
          </w:tcPr>
          <w:p>
            <w:r>
              <w:rPr>
                <w:b w:val="false"/>
                <w:bCs w:val="false"/>
                <w:sz w:val="20"/>
                <w:szCs w:val="20"/>
              </w:rPr>
              <w:t xml:space="preserve">14%</w:t>
            </w:r>
          </w:p>
        </w:tc>
        <w:tc>
          <w:tcPr>
            <w:tcW w:type="dxa" w:w="2200"/>
            <w:shd w:fill="FFFFFF" w:val="clear"/>
            <w:tcMar>
              <w:top w:type="dxa" w:w="100"/>
              <w:left w:type="dxa" w:w="120"/>
              <w:bottom w:type="dxa" w:w="100"/>
              <w:right w:type="dxa" w:w="120"/>
            </w:tcMar>
          </w:tcPr>
          <w:p>
            <w:r>
              <w:rPr>
                <w:b w:val="false"/>
                <w:bCs w:val="false"/>
                <w:sz w:val="20"/>
                <w:szCs w:val="20"/>
              </w:rPr>
              <w:t xml:space="preserve">15%</w:t>
            </w:r>
          </w:p>
        </w:tc>
      </w:tr>
      <w:tr>
        <w:tc>
          <w:tcPr>
            <w:tcW w:type="dxa" w:w="3400"/>
            <w:shd w:fill="EDF3EE" w:val="clear"/>
            <w:tcMar>
              <w:top w:type="dxa" w:w="100"/>
              <w:left w:type="dxa" w:w="120"/>
              <w:bottom w:type="dxa" w:w="100"/>
              <w:right w:type="dxa" w:w="120"/>
            </w:tcMar>
          </w:tcPr>
          <w:p>
            <w:r>
              <w:rPr>
                <w:b/>
                <w:bCs/>
                <w:sz w:val="20"/>
                <w:szCs w:val="20"/>
              </w:rPr>
              <w:t xml:space="preserve">Calin Pack subscribers</w:t>
            </w:r>
          </w:p>
        </w:tc>
        <w:tc>
          <w:tcPr>
            <w:tcW w:type="dxa" w:w="2200"/>
            <w:shd w:fill="EDF3EE" w:val="clear"/>
            <w:tcMar>
              <w:top w:type="dxa" w:w="100"/>
              <w:left w:type="dxa" w:w="120"/>
              <w:bottom w:type="dxa" w:w="100"/>
              <w:right w:type="dxa" w:w="120"/>
            </w:tcMar>
          </w:tcPr>
          <w:p>
            <w:r>
              <w:rPr>
                <w:b w:val="false"/>
                <w:bCs w:val="false"/>
                <w:sz w:val="20"/>
                <w:szCs w:val="20"/>
              </w:rPr>
              <w:t xml:space="preserve">15</w:t>
            </w:r>
          </w:p>
        </w:tc>
        <w:tc>
          <w:tcPr>
            <w:tcW w:type="dxa" w:w="2200"/>
            <w:shd w:fill="EDF3EE" w:val="clear"/>
            <w:tcMar>
              <w:top w:type="dxa" w:w="100"/>
              <w:left w:type="dxa" w:w="120"/>
              <w:bottom w:type="dxa" w:w="100"/>
              <w:right w:type="dxa" w:w="120"/>
            </w:tcMar>
          </w:tcPr>
          <w:p>
            <w:r>
              <w:rPr>
                <w:b w:val="false"/>
                <w:bCs w:val="false"/>
                <w:sz w:val="20"/>
                <w:szCs w:val="20"/>
              </w:rPr>
              <w:t xml:space="preserve">60</w:t>
            </w:r>
          </w:p>
        </w:tc>
        <w:tc>
          <w:tcPr>
            <w:tcW w:type="dxa" w:w="2200"/>
            <w:shd w:fill="EDF3EE" w:val="clear"/>
            <w:tcMar>
              <w:top w:type="dxa" w:w="100"/>
              <w:left w:type="dxa" w:w="120"/>
              <w:bottom w:type="dxa" w:w="100"/>
              <w:right w:type="dxa" w:w="120"/>
            </w:tcMar>
          </w:tcPr>
          <w:p>
            <w:r>
              <w:rPr>
                <w:b w:val="false"/>
                <w:bCs w:val="false"/>
                <w:sz w:val="20"/>
                <w:szCs w:val="20"/>
              </w:rPr>
              <w:t xml:space="preserve">200</w:t>
            </w:r>
          </w:p>
        </w:tc>
      </w:tr>
      <w:tr>
        <w:tc>
          <w:tcPr>
            <w:tcW w:type="dxa" w:w="3400"/>
            <w:shd w:fill="FFFFFF" w:val="clear"/>
            <w:tcMar>
              <w:top w:type="dxa" w:w="100"/>
              <w:left w:type="dxa" w:w="120"/>
              <w:bottom w:type="dxa" w:w="100"/>
              <w:right w:type="dxa" w:w="120"/>
            </w:tcMar>
          </w:tcPr>
          <w:p>
            <w:r>
              <w:rPr>
                <w:b/>
                <w:bCs/>
                <w:sz w:val="20"/>
                <w:szCs w:val="20"/>
              </w:rPr>
              <w:t xml:space="preserve">Blended pack price / delivery</w:t>
            </w:r>
          </w:p>
        </w:tc>
        <w:tc>
          <w:tcPr>
            <w:tcW w:type="dxa" w:w="2200"/>
            <w:shd w:fill="FFFFFF" w:val="clear"/>
            <w:tcMar>
              <w:top w:type="dxa" w:w="100"/>
              <w:left w:type="dxa" w:w="120"/>
              <w:bottom w:type="dxa" w:w="100"/>
              <w:right w:type="dxa" w:w="120"/>
            </w:tcMar>
          </w:tcPr>
          <w:p>
            <w:r>
              <w:rPr>
                <w:b w:val="false"/>
                <w:bCs w:val="false"/>
                <w:sz w:val="20"/>
                <w:szCs w:val="20"/>
              </w:rPr>
              <w:t xml:space="preserve">₹927</w:t>
            </w:r>
          </w:p>
        </w:tc>
        <w:tc>
          <w:tcPr>
            <w:tcW w:type="dxa" w:w="2200"/>
            <w:shd w:fill="FFFFFF" w:val="clear"/>
            <w:tcMar>
              <w:top w:type="dxa" w:w="100"/>
              <w:left w:type="dxa" w:w="120"/>
              <w:bottom w:type="dxa" w:w="100"/>
              <w:right w:type="dxa" w:w="120"/>
            </w:tcMar>
          </w:tcPr>
          <w:p>
            <w:r>
              <w:rPr>
                <w:b w:val="false"/>
                <w:bCs w:val="false"/>
                <w:sz w:val="20"/>
                <w:szCs w:val="20"/>
              </w:rPr>
              <w:t xml:space="preserve">₹958</w:t>
            </w:r>
          </w:p>
        </w:tc>
        <w:tc>
          <w:tcPr>
            <w:tcW w:type="dxa" w:w="2200"/>
            <w:shd w:fill="FFFFFF" w:val="clear"/>
            <w:tcMar>
              <w:top w:type="dxa" w:w="100"/>
              <w:left w:type="dxa" w:w="120"/>
              <w:bottom w:type="dxa" w:w="100"/>
              <w:right w:type="dxa" w:w="120"/>
            </w:tcMar>
          </w:tcPr>
          <w:p>
            <w:r>
              <w:rPr>
                <w:b w:val="false"/>
                <w:bCs w:val="false"/>
                <w:sz w:val="20"/>
                <w:szCs w:val="20"/>
              </w:rPr>
              <w:t xml:space="preserve">₹1,010</w:t>
            </w:r>
          </w:p>
        </w:tc>
      </w:tr>
      <w:tr>
        <w:tc>
          <w:tcPr>
            <w:tcW w:type="dxa" w:w="3400"/>
            <w:shd w:fill="EDF3EE" w:val="clear"/>
            <w:tcMar>
              <w:top w:type="dxa" w:w="100"/>
              <w:left w:type="dxa" w:w="120"/>
              <w:bottom w:type="dxa" w:w="100"/>
              <w:right w:type="dxa" w:w="120"/>
            </w:tcMar>
          </w:tcPr>
          <w:p>
            <w:r>
              <w:rPr>
                <w:b/>
                <w:bCs/>
                <w:sz w:val="20"/>
                <w:szCs w:val="20"/>
              </w:rPr>
              <w:t xml:space="preserve">Delivery days / month</w:t>
            </w:r>
          </w:p>
        </w:tc>
        <w:tc>
          <w:tcPr>
            <w:tcW w:type="dxa" w:w="2200"/>
            <w:shd w:fill="EDF3EE" w:val="clear"/>
            <w:tcMar>
              <w:top w:type="dxa" w:w="100"/>
              <w:left w:type="dxa" w:w="120"/>
              <w:bottom w:type="dxa" w:w="100"/>
              <w:right w:type="dxa" w:w="120"/>
            </w:tcMar>
          </w:tcPr>
          <w:p>
            <w:r>
              <w:rPr>
                <w:b w:val="false"/>
                <w:bCs w:val="false"/>
                <w:sz w:val="20"/>
                <w:szCs w:val="20"/>
              </w:rPr>
              <w:t xml:space="preserve">22</w:t>
            </w:r>
          </w:p>
        </w:tc>
        <w:tc>
          <w:tcPr>
            <w:tcW w:type="dxa" w:w="2200"/>
            <w:shd w:fill="EDF3EE" w:val="clear"/>
            <w:tcMar>
              <w:top w:type="dxa" w:w="100"/>
              <w:left w:type="dxa" w:w="120"/>
              <w:bottom w:type="dxa" w:w="100"/>
              <w:right w:type="dxa" w:w="120"/>
            </w:tcMar>
          </w:tcPr>
          <w:p>
            <w:r>
              <w:rPr>
                <w:b w:val="false"/>
                <w:bCs w:val="false"/>
                <w:sz w:val="20"/>
                <w:szCs w:val="20"/>
              </w:rPr>
              <w:t xml:space="preserve">24</w:t>
            </w:r>
          </w:p>
        </w:tc>
        <w:tc>
          <w:tcPr>
            <w:tcW w:type="dxa" w:w="2200"/>
            <w:shd w:fill="EDF3EE" w:val="clear"/>
            <w:tcMar>
              <w:top w:type="dxa" w:w="100"/>
              <w:left w:type="dxa" w:w="120"/>
              <w:bottom w:type="dxa" w:w="100"/>
              <w:right w:type="dxa" w:w="120"/>
            </w:tcMar>
          </w:tcPr>
          <w:p>
            <w:r>
              <w:rPr>
                <w:b w:val="false"/>
                <w:bCs w:val="false"/>
                <w:sz w:val="20"/>
                <w:szCs w:val="20"/>
              </w:rPr>
              <w:t xml:space="preserve">26</w:t>
            </w:r>
          </w:p>
        </w:tc>
      </w:tr>
      <w:tr>
        <w:tc>
          <w:tcPr>
            <w:tcW w:type="dxa" w:w="3400"/>
            <w:shd w:fill="FFFFFF" w:val="clear"/>
            <w:tcMar>
              <w:top w:type="dxa" w:w="100"/>
              <w:left w:type="dxa" w:w="120"/>
              <w:bottom w:type="dxa" w:w="100"/>
              <w:right w:type="dxa" w:w="120"/>
            </w:tcMar>
          </w:tcPr>
          <w:p>
            <w:r>
              <w:rPr>
                <w:b/>
                <w:bCs/>
                <w:sz w:val="20"/>
                <w:szCs w:val="20"/>
              </w:rPr>
              <w:t xml:space="preserve">Calin Pack gross margin</w:t>
            </w:r>
          </w:p>
        </w:tc>
        <w:tc>
          <w:tcPr>
            <w:tcW w:type="dxa" w:w="2200"/>
            <w:shd w:fill="FFFFFF" w:val="clear"/>
            <w:tcMar>
              <w:top w:type="dxa" w:w="100"/>
              <w:left w:type="dxa" w:w="120"/>
              <w:bottom w:type="dxa" w:w="100"/>
              <w:right w:type="dxa" w:w="120"/>
            </w:tcMar>
          </w:tcPr>
          <w:p>
            <w:r>
              <w:rPr>
                <w:b w:val="false"/>
                <w:bCs w:val="false"/>
                <w:sz w:val="20"/>
                <w:szCs w:val="20"/>
              </w:rPr>
              <w:t xml:space="preserve">25%</w:t>
            </w:r>
          </w:p>
        </w:tc>
        <w:tc>
          <w:tcPr>
            <w:tcW w:type="dxa" w:w="2200"/>
            <w:shd w:fill="FFFFFF" w:val="clear"/>
            <w:tcMar>
              <w:top w:type="dxa" w:w="100"/>
              <w:left w:type="dxa" w:w="120"/>
              <w:bottom w:type="dxa" w:w="100"/>
              <w:right w:type="dxa" w:w="120"/>
            </w:tcMar>
          </w:tcPr>
          <w:p>
            <w:r>
              <w:rPr>
                <w:b w:val="false"/>
                <w:bCs w:val="false"/>
                <w:sz w:val="20"/>
                <w:szCs w:val="20"/>
              </w:rPr>
              <w:t xml:space="preserve">28%</w:t>
            </w:r>
          </w:p>
        </w:tc>
        <w:tc>
          <w:tcPr>
            <w:tcW w:type="dxa" w:w="2200"/>
            <w:shd w:fill="FFFFFF" w:val="clear"/>
            <w:tcMar>
              <w:top w:type="dxa" w:w="100"/>
              <w:left w:type="dxa" w:w="120"/>
              <w:bottom w:type="dxa" w:w="100"/>
              <w:right w:type="dxa" w:w="120"/>
            </w:tcMar>
          </w:tcPr>
          <w:p>
            <w:r>
              <w:rPr>
                <w:b w:val="false"/>
                <w:bCs w:val="false"/>
                <w:sz w:val="20"/>
                <w:szCs w:val="20"/>
              </w:rPr>
              <w:t xml:space="preserve">30%</w:t>
            </w:r>
          </w:p>
        </w:tc>
      </w:tr>
      <w:tr>
        <w:tc>
          <w:tcPr>
            <w:tcW w:type="dxa" w:w="3400"/>
            <w:shd w:fill="EDF3EE" w:val="clear"/>
            <w:tcMar>
              <w:top w:type="dxa" w:w="100"/>
              <w:left w:type="dxa" w:w="120"/>
              <w:bottom w:type="dxa" w:w="100"/>
              <w:right w:type="dxa" w:w="120"/>
            </w:tcMar>
          </w:tcPr>
          <w:p>
            <w:r>
              <w:rPr>
                <w:b/>
                <w:bCs/>
                <w:sz w:val="20"/>
                <w:szCs w:val="20"/>
              </w:rPr>
              <w:t xml:space="preserve">Paid nutritionist consults / mo.</w:t>
            </w:r>
          </w:p>
        </w:tc>
        <w:tc>
          <w:tcPr>
            <w:tcW w:type="dxa" w:w="2200"/>
            <w:shd w:fill="EDF3EE" w:val="clear"/>
            <w:tcMar>
              <w:top w:type="dxa" w:w="100"/>
              <w:left w:type="dxa" w:w="120"/>
              <w:bottom w:type="dxa" w:w="100"/>
              <w:right w:type="dxa" w:w="120"/>
            </w:tcMar>
          </w:tcPr>
          <w:p>
            <w:r>
              <w:rPr>
                <w:b w:val="false"/>
                <w:bCs w:val="false"/>
                <w:sz w:val="20"/>
                <w:szCs w:val="20"/>
              </w:rPr>
              <w:t xml:space="preserve">10 @ ₹300</w:t>
            </w:r>
          </w:p>
        </w:tc>
        <w:tc>
          <w:tcPr>
            <w:tcW w:type="dxa" w:w="2200"/>
            <w:shd w:fill="EDF3EE" w:val="clear"/>
            <w:tcMar>
              <w:top w:type="dxa" w:w="100"/>
              <w:left w:type="dxa" w:w="120"/>
              <w:bottom w:type="dxa" w:w="100"/>
              <w:right w:type="dxa" w:w="120"/>
            </w:tcMar>
          </w:tcPr>
          <w:p>
            <w:r>
              <w:rPr>
                <w:b w:val="false"/>
                <w:bCs w:val="false"/>
                <w:sz w:val="20"/>
                <w:szCs w:val="20"/>
              </w:rPr>
              <w:t xml:space="preserve">40 @ ₹400</w:t>
            </w:r>
          </w:p>
        </w:tc>
        <w:tc>
          <w:tcPr>
            <w:tcW w:type="dxa" w:w="2200"/>
            <w:shd w:fill="EDF3EE" w:val="clear"/>
            <w:tcMar>
              <w:top w:type="dxa" w:w="100"/>
              <w:left w:type="dxa" w:w="120"/>
              <w:bottom w:type="dxa" w:w="100"/>
              <w:right w:type="dxa" w:w="120"/>
            </w:tcMar>
          </w:tcPr>
          <w:p>
            <w:r>
              <w:rPr>
                <w:b w:val="false"/>
                <w:bCs w:val="false"/>
                <w:sz w:val="20"/>
                <w:szCs w:val="20"/>
              </w:rPr>
              <w:t xml:space="preserve">150 @ ₹500</w:t>
            </w:r>
          </w:p>
        </w:tc>
      </w:tr>
      <w:tr>
        <w:tc>
          <w:tcPr>
            <w:tcW w:type="dxa" w:w="3400"/>
            <w:shd w:fill="FFFFFF" w:val="clear"/>
            <w:tcMar>
              <w:top w:type="dxa" w:w="100"/>
              <w:left w:type="dxa" w:w="120"/>
              <w:bottom w:type="dxa" w:w="100"/>
              <w:right w:type="dxa" w:w="120"/>
            </w:tcMar>
          </w:tcPr>
          <w:p>
            <w:r>
              <w:rPr>
                <w:b/>
                <w:bCs/>
                <w:sz w:val="20"/>
                <w:szCs w:val="20"/>
              </w:rPr>
              <w:t xml:space="preserve">Corporate / B2B contracts</w:t>
            </w:r>
          </w:p>
        </w:tc>
        <w:tc>
          <w:tcPr>
            <w:tcW w:type="dxa" w:w="2200"/>
            <w:shd w:fill="FFFFFF" w:val="clear"/>
            <w:tcMar>
              <w:top w:type="dxa" w:w="100"/>
              <w:left w:type="dxa" w:w="120"/>
              <w:bottom w:type="dxa" w:w="100"/>
              <w:right w:type="dxa" w:w="120"/>
            </w:tcMar>
          </w:tcPr>
          <w:p>
            <w:r>
              <w:rPr>
                <w:b w:val="false"/>
                <w:bCs w:val="false"/>
                <w:sz w:val="20"/>
                <w:szCs w:val="20"/>
              </w:rPr>
              <w:t xml:space="preserve">None</w:t>
            </w:r>
          </w:p>
        </w:tc>
        <w:tc>
          <w:tcPr>
            <w:tcW w:type="dxa" w:w="2200"/>
            <w:shd w:fill="FFFFFF" w:val="clear"/>
            <w:tcMar>
              <w:top w:type="dxa" w:w="100"/>
              <w:left w:type="dxa" w:w="120"/>
              <w:bottom w:type="dxa" w:w="100"/>
              <w:right w:type="dxa" w:w="120"/>
            </w:tcMar>
          </w:tcPr>
          <w:p>
            <w:r>
              <w:rPr>
                <w:b w:val="false"/>
                <w:bCs w:val="false"/>
                <w:sz w:val="20"/>
                <w:szCs w:val="20"/>
              </w:rPr>
              <w:t xml:space="preserve">None</w:t>
            </w:r>
          </w:p>
        </w:tc>
        <w:tc>
          <w:tcPr>
            <w:tcW w:type="dxa" w:w="2200"/>
            <w:shd w:fill="FFFFFF" w:val="clear"/>
            <w:tcMar>
              <w:top w:type="dxa" w:w="100"/>
              <w:left w:type="dxa" w:w="120"/>
              <w:bottom w:type="dxa" w:w="100"/>
              <w:right w:type="dxa" w:w="120"/>
            </w:tcMar>
          </w:tcPr>
          <w:p>
            <w:r>
              <w:rPr>
                <w:b w:val="false"/>
                <w:bCs w:val="false"/>
                <w:sz w:val="20"/>
                <w:szCs w:val="20"/>
              </w:rPr>
              <w:t xml:space="preserve">₹3,00,000 @ 25% margin</w:t>
            </w:r>
          </w:p>
        </w:tc>
      </w:tr>
    </w:tbl>
    <w:p>
      <w:pPr>
        <w:spacing w:after="240"/>
      </w:pPr>
    </w:p>
    <w:p>
      <w:pPr>
        <w:pStyle w:val="Heading2"/>
        <w:spacing w:after="140" w:before="280"/>
      </w:pPr>
      <w:r>
        <w:rPr>
          <w:b/>
          <w:bCs/>
          <w:color w:val="3C7A54"/>
          <w:sz w:val="24"/>
          <w:szCs w:val="24"/>
        </w:rPr>
        <w:t xml:space="preserve">7.2 Projected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rPr>
          <w:tblHeader/>
        </w:trPr>
        <w:tc>
          <w:tcPr>
            <w:tcW w:type="dxa" w:w="3400"/>
            <w:shd w:fill="1F3B4D" w:val="clear"/>
            <w:tcMar>
              <w:top w:type="dxa" w:w="100"/>
              <w:left w:type="dxa" w:w="120"/>
              <w:bottom w:type="dxa" w:w="100"/>
              <w:right w:type="dxa" w:w="120"/>
            </w:tcMar>
          </w:tcPr>
          <w:p>
            <w:r>
              <w:rPr>
                <w:b/>
                <w:bCs/>
                <w:color w:val="FFFFFF"/>
                <w:sz w:val="20"/>
                <w:szCs w:val="20"/>
              </w:rPr>
              <w:t xml:space="preserve">Metric (per month)</w:t>
            </w:r>
          </w:p>
        </w:tc>
        <w:tc>
          <w:tcPr>
            <w:tcW w:type="dxa" w:w="2200"/>
            <w:shd w:fill="1F3B4D" w:val="clear"/>
            <w:tcMar>
              <w:top w:type="dxa" w:w="100"/>
              <w:left w:type="dxa" w:w="120"/>
              <w:bottom w:type="dxa" w:w="100"/>
              <w:right w:type="dxa" w:w="120"/>
            </w:tcMar>
          </w:tcPr>
          <w:p>
            <w:r>
              <w:rPr>
                <w:b/>
                <w:bCs/>
                <w:color w:val="FFFFFF"/>
                <w:sz w:val="20"/>
                <w:szCs w:val="20"/>
              </w:rPr>
              <w:t xml:space="preserve">Worst case</w:t>
            </w:r>
          </w:p>
        </w:tc>
        <w:tc>
          <w:tcPr>
            <w:tcW w:type="dxa" w:w="2200"/>
            <w:shd w:fill="1F3B4D" w:val="clear"/>
            <w:tcMar>
              <w:top w:type="dxa" w:w="100"/>
              <w:left w:type="dxa" w:w="120"/>
              <w:bottom w:type="dxa" w:w="100"/>
              <w:right w:type="dxa" w:w="120"/>
            </w:tcMar>
          </w:tcPr>
          <w:p>
            <w:r>
              <w:rPr>
                <w:b/>
                <w:bCs/>
                <w:color w:val="FFFFFF"/>
                <w:sz w:val="20"/>
                <w:szCs w:val="20"/>
              </w:rPr>
              <w:t xml:space="preserve">Average case</w:t>
            </w:r>
          </w:p>
        </w:tc>
        <w:tc>
          <w:tcPr>
            <w:tcW w:type="dxa" w:w="2200"/>
            <w:shd w:fill="1F3B4D" w:val="clear"/>
            <w:tcMar>
              <w:top w:type="dxa" w:w="100"/>
              <w:left w:type="dxa" w:w="120"/>
              <w:bottom w:type="dxa" w:w="100"/>
              <w:right w:type="dxa" w:w="120"/>
            </w:tcMar>
          </w:tcPr>
          <w:p>
            <w:r>
              <w:rPr>
                <w:b/>
                <w:bCs/>
                <w:color w:val="FFFFFF"/>
                <w:sz w:val="20"/>
                <w:szCs w:val="20"/>
              </w:rPr>
              <w:t xml:space="preserve">Best case</w:t>
            </w:r>
          </w:p>
        </w:tc>
      </w:tr>
      <w:tr>
        <w:tc>
          <w:tcPr>
            <w:tcW w:type="dxa" w:w="3400"/>
            <w:shd w:fill="FFFFFF" w:val="clear"/>
            <w:tcMar>
              <w:top w:type="dxa" w:w="100"/>
              <w:left w:type="dxa" w:w="120"/>
              <w:bottom w:type="dxa" w:w="100"/>
              <w:right w:type="dxa" w:w="120"/>
            </w:tcMar>
          </w:tcPr>
          <w:p>
            <w:r>
              <w:rPr>
                <w:b/>
                <w:bCs/>
                <w:sz w:val="20"/>
                <w:szCs w:val="20"/>
              </w:rPr>
              <w:t xml:space="preserve">Walk-in grocery revenue</w:t>
            </w:r>
          </w:p>
        </w:tc>
        <w:tc>
          <w:tcPr>
            <w:tcW w:type="dxa" w:w="2200"/>
            <w:shd w:fill="FFFFFF" w:val="clear"/>
            <w:tcMar>
              <w:top w:type="dxa" w:w="100"/>
              <w:left w:type="dxa" w:w="120"/>
              <w:bottom w:type="dxa" w:w="100"/>
              <w:right w:type="dxa" w:w="120"/>
            </w:tcMar>
          </w:tcPr>
          <w:p>
            <w:r>
              <w:rPr>
                <w:b w:val="false"/>
                <w:bCs w:val="false"/>
                <w:sz w:val="20"/>
                <w:szCs w:val="20"/>
              </w:rPr>
              <w:t xml:space="preserve">₹1.88 L</w:t>
            </w:r>
          </w:p>
        </w:tc>
        <w:tc>
          <w:tcPr>
            <w:tcW w:type="dxa" w:w="2200"/>
            <w:shd w:fill="FFFFFF" w:val="clear"/>
            <w:tcMar>
              <w:top w:type="dxa" w:w="100"/>
              <w:left w:type="dxa" w:w="120"/>
              <w:bottom w:type="dxa" w:w="100"/>
              <w:right w:type="dxa" w:w="120"/>
            </w:tcMar>
          </w:tcPr>
          <w:p>
            <w:r>
              <w:rPr>
                <w:b w:val="false"/>
                <w:bCs w:val="false"/>
                <w:sz w:val="20"/>
                <w:szCs w:val="20"/>
              </w:rPr>
              <w:t xml:space="preserve">₹6.30 L</w:t>
            </w:r>
          </w:p>
        </w:tc>
        <w:tc>
          <w:tcPr>
            <w:tcW w:type="dxa" w:w="2200"/>
            <w:shd w:fill="FFFFFF" w:val="clear"/>
            <w:tcMar>
              <w:top w:type="dxa" w:w="100"/>
              <w:left w:type="dxa" w:w="120"/>
              <w:bottom w:type="dxa" w:w="100"/>
              <w:right w:type="dxa" w:w="120"/>
            </w:tcMar>
          </w:tcPr>
          <w:p>
            <w:r>
              <w:rPr>
                <w:b w:val="false"/>
                <w:bCs w:val="false"/>
                <w:sz w:val="20"/>
                <w:szCs w:val="20"/>
              </w:rPr>
              <w:t xml:space="preserve">₹16.20 L</w:t>
            </w:r>
          </w:p>
        </w:tc>
      </w:tr>
      <w:tr>
        <w:tc>
          <w:tcPr>
            <w:tcW w:type="dxa" w:w="3400"/>
            <w:shd w:fill="EDF3EE" w:val="clear"/>
            <w:tcMar>
              <w:top w:type="dxa" w:w="100"/>
              <w:left w:type="dxa" w:w="120"/>
              <w:bottom w:type="dxa" w:w="100"/>
              <w:right w:type="dxa" w:w="120"/>
            </w:tcMar>
          </w:tcPr>
          <w:p>
            <w:r>
              <w:rPr>
                <w:b/>
                <w:bCs/>
                <w:sz w:val="20"/>
                <w:szCs w:val="20"/>
              </w:rPr>
              <w:t xml:space="preserve">Calin Pack revenue</w:t>
            </w:r>
          </w:p>
        </w:tc>
        <w:tc>
          <w:tcPr>
            <w:tcW w:type="dxa" w:w="2200"/>
            <w:shd w:fill="EDF3EE" w:val="clear"/>
            <w:tcMar>
              <w:top w:type="dxa" w:w="100"/>
              <w:left w:type="dxa" w:w="120"/>
              <w:bottom w:type="dxa" w:w="100"/>
              <w:right w:type="dxa" w:w="120"/>
            </w:tcMar>
          </w:tcPr>
          <w:p>
            <w:r>
              <w:rPr>
                <w:b w:val="false"/>
                <w:bCs w:val="false"/>
                <w:sz w:val="20"/>
                <w:szCs w:val="20"/>
              </w:rPr>
              <w:t xml:space="preserve">₹3.06 L</w:t>
            </w:r>
          </w:p>
        </w:tc>
        <w:tc>
          <w:tcPr>
            <w:tcW w:type="dxa" w:w="2200"/>
            <w:shd w:fill="EDF3EE" w:val="clear"/>
            <w:tcMar>
              <w:top w:type="dxa" w:w="100"/>
              <w:left w:type="dxa" w:w="120"/>
              <w:bottom w:type="dxa" w:w="100"/>
              <w:right w:type="dxa" w:w="120"/>
            </w:tcMar>
          </w:tcPr>
          <w:p>
            <w:r>
              <w:rPr>
                <w:b w:val="false"/>
                <w:bCs w:val="false"/>
                <w:sz w:val="20"/>
                <w:szCs w:val="20"/>
              </w:rPr>
              <w:t xml:space="preserve">₹13.80 L</w:t>
            </w:r>
          </w:p>
        </w:tc>
        <w:tc>
          <w:tcPr>
            <w:tcW w:type="dxa" w:w="2200"/>
            <w:shd w:fill="EDF3EE" w:val="clear"/>
            <w:tcMar>
              <w:top w:type="dxa" w:w="100"/>
              <w:left w:type="dxa" w:w="120"/>
              <w:bottom w:type="dxa" w:w="100"/>
              <w:right w:type="dxa" w:w="120"/>
            </w:tcMar>
          </w:tcPr>
          <w:p>
            <w:r>
              <w:rPr>
                <w:b w:val="false"/>
                <w:bCs w:val="false"/>
                <w:sz w:val="20"/>
                <w:szCs w:val="20"/>
              </w:rPr>
              <w:t xml:space="preserve">₹52.52 L</w:t>
            </w:r>
          </w:p>
        </w:tc>
      </w:tr>
      <w:tr>
        <w:tc>
          <w:tcPr>
            <w:tcW w:type="dxa" w:w="3400"/>
            <w:shd w:fill="FFFFFF" w:val="clear"/>
            <w:tcMar>
              <w:top w:type="dxa" w:w="100"/>
              <w:left w:type="dxa" w:w="120"/>
              <w:bottom w:type="dxa" w:w="100"/>
              <w:right w:type="dxa" w:w="120"/>
            </w:tcMar>
          </w:tcPr>
          <w:p>
            <w:r>
              <w:rPr>
                <w:b/>
                <w:bCs/>
                <w:sz w:val="20"/>
                <w:szCs w:val="20"/>
              </w:rPr>
              <w:t xml:space="preserve">Nutritionist + corporate revenue</w:t>
            </w:r>
          </w:p>
        </w:tc>
        <w:tc>
          <w:tcPr>
            <w:tcW w:type="dxa" w:w="2200"/>
            <w:shd w:fill="FFFFFF" w:val="clear"/>
            <w:tcMar>
              <w:top w:type="dxa" w:w="100"/>
              <w:left w:type="dxa" w:w="120"/>
              <w:bottom w:type="dxa" w:w="100"/>
              <w:right w:type="dxa" w:w="120"/>
            </w:tcMar>
          </w:tcPr>
          <w:p>
            <w:r>
              <w:rPr>
                <w:b w:val="false"/>
                <w:bCs w:val="false"/>
                <w:sz w:val="20"/>
                <w:szCs w:val="20"/>
              </w:rPr>
              <w:t xml:space="preserve">₹0.03 L</w:t>
            </w:r>
          </w:p>
        </w:tc>
        <w:tc>
          <w:tcPr>
            <w:tcW w:type="dxa" w:w="2200"/>
            <w:shd w:fill="FFFFFF" w:val="clear"/>
            <w:tcMar>
              <w:top w:type="dxa" w:w="100"/>
              <w:left w:type="dxa" w:w="120"/>
              <w:bottom w:type="dxa" w:w="100"/>
              <w:right w:type="dxa" w:w="120"/>
            </w:tcMar>
          </w:tcPr>
          <w:p>
            <w:r>
              <w:rPr>
                <w:b w:val="false"/>
                <w:bCs w:val="false"/>
                <w:sz w:val="20"/>
                <w:szCs w:val="20"/>
              </w:rPr>
              <w:t xml:space="preserve">₹0.16 L</w:t>
            </w:r>
          </w:p>
        </w:tc>
        <w:tc>
          <w:tcPr>
            <w:tcW w:type="dxa" w:w="2200"/>
            <w:shd w:fill="FFFFFF" w:val="clear"/>
            <w:tcMar>
              <w:top w:type="dxa" w:w="100"/>
              <w:left w:type="dxa" w:w="120"/>
              <w:bottom w:type="dxa" w:w="100"/>
              <w:right w:type="dxa" w:w="120"/>
            </w:tcMar>
          </w:tcPr>
          <w:p>
            <w:r>
              <w:rPr>
                <w:b w:val="false"/>
                <w:bCs w:val="false"/>
                <w:sz w:val="20"/>
                <w:szCs w:val="20"/>
              </w:rPr>
              <w:t xml:space="preserve">₹3.75 L</w:t>
            </w:r>
          </w:p>
        </w:tc>
      </w:tr>
      <w:tr>
        <w:tc>
          <w:tcPr>
            <w:tcW w:type="dxa" w:w="3400"/>
            <w:shd w:fill="EDF3EE" w:val="clear"/>
            <w:tcMar>
              <w:top w:type="dxa" w:w="100"/>
              <w:left w:type="dxa" w:w="120"/>
              <w:bottom w:type="dxa" w:w="100"/>
              <w:right w:type="dxa" w:w="120"/>
            </w:tcMar>
          </w:tcPr>
          <w:p>
            <w:r>
              <w:rPr>
                <w:b/>
                <w:bCs/>
                <w:sz w:val="20"/>
                <w:szCs w:val="20"/>
              </w:rPr>
              <w:t xml:space="preserve">Total monthly revenue</w:t>
            </w:r>
          </w:p>
        </w:tc>
        <w:tc>
          <w:tcPr>
            <w:tcW w:type="dxa" w:w="2200"/>
            <w:shd w:fill="EDF3EE" w:val="clear"/>
            <w:tcMar>
              <w:top w:type="dxa" w:w="100"/>
              <w:left w:type="dxa" w:w="120"/>
              <w:bottom w:type="dxa" w:w="100"/>
              <w:right w:type="dxa" w:w="120"/>
            </w:tcMar>
          </w:tcPr>
          <w:p>
            <w:r>
              <w:rPr>
                <w:b w:val="false"/>
                <w:bCs w:val="false"/>
                <w:sz w:val="20"/>
                <w:szCs w:val="20"/>
              </w:rPr>
              <w:t xml:space="preserve">₹4.96 L</w:t>
            </w:r>
          </w:p>
        </w:tc>
        <w:tc>
          <w:tcPr>
            <w:tcW w:type="dxa" w:w="2200"/>
            <w:shd w:fill="EDF3EE" w:val="clear"/>
            <w:tcMar>
              <w:top w:type="dxa" w:w="100"/>
              <w:left w:type="dxa" w:w="120"/>
              <w:bottom w:type="dxa" w:w="100"/>
              <w:right w:type="dxa" w:w="120"/>
            </w:tcMar>
          </w:tcPr>
          <w:p>
            <w:r>
              <w:rPr>
                <w:b w:val="false"/>
                <w:bCs w:val="false"/>
                <w:sz w:val="20"/>
                <w:szCs w:val="20"/>
              </w:rPr>
              <w:t xml:space="preserve">₹20.26 L</w:t>
            </w:r>
          </w:p>
        </w:tc>
        <w:tc>
          <w:tcPr>
            <w:tcW w:type="dxa" w:w="2200"/>
            <w:shd w:fill="EDF3EE" w:val="clear"/>
            <w:tcMar>
              <w:top w:type="dxa" w:w="100"/>
              <w:left w:type="dxa" w:w="120"/>
              <w:bottom w:type="dxa" w:w="100"/>
              <w:right w:type="dxa" w:w="120"/>
            </w:tcMar>
          </w:tcPr>
          <w:p>
            <w:r>
              <w:rPr>
                <w:b w:val="false"/>
                <w:bCs w:val="false"/>
                <w:sz w:val="20"/>
                <w:szCs w:val="20"/>
              </w:rPr>
              <w:t xml:space="preserve">₹72.47 L</w:t>
            </w:r>
          </w:p>
        </w:tc>
      </w:tr>
      <w:tr>
        <w:tc>
          <w:tcPr>
            <w:tcW w:type="dxa" w:w="3400"/>
            <w:shd w:fill="FFFFFF" w:val="clear"/>
            <w:tcMar>
              <w:top w:type="dxa" w:w="100"/>
              <w:left w:type="dxa" w:w="120"/>
              <w:bottom w:type="dxa" w:w="100"/>
              <w:right w:type="dxa" w:w="120"/>
            </w:tcMar>
          </w:tcPr>
          <w:p>
            <w:r>
              <w:rPr>
                <w:b/>
                <w:bCs/>
                <w:sz w:val="20"/>
                <w:szCs w:val="20"/>
              </w:rPr>
              <w:t xml:space="preserve">Total gross profit</w:t>
            </w:r>
          </w:p>
        </w:tc>
        <w:tc>
          <w:tcPr>
            <w:tcW w:type="dxa" w:w="2200"/>
            <w:shd w:fill="FFFFFF" w:val="clear"/>
            <w:tcMar>
              <w:top w:type="dxa" w:w="100"/>
              <w:left w:type="dxa" w:w="120"/>
              <w:bottom w:type="dxa" w:w="100"/>
              <w:right w:type="dxa" w:w="120"/>
            </w:tcMar>
          </w:tcPr>
          <w:p>
            <w:r>
              <w:rPr>
                <w:b w:val="false"/>
                <w:bCs w:val="false"/>
                <w:sz w:val="20"/>
                <w:szCs w:val="20"/>
              </w:rPr>
              <w:t xml:space="preserve">₹1.02 L</w:t>
            </w:r>
          </w:p>
        </w:tc>
        <w:tc>
          <w:tcPr>
            <w:tcW w:type="dxa" w:w="2200"/>
            <w:shd w:fill="FFFFFF" w:val="clear"/>
            <w:tcMar>
              <w:top w:type="dxa" w:w="100"/>
              <w:left w:type="dxa" w:w="120"/>
              <w:bottom w:type="dxa" w:w="100"/>
              <w:right w:type="dxa" w:w="120"/>
            </w:tcMar>
          </w:tcPr>
          <w:p>
            <w:r>
              <w:rPr>
                <w:b w:val="false"/>
                <w:bCs w:val="false"/>
                <w:sz w:val="20"/>
                <w:szCs w:val="20"/>
              </w:rPr>
              <w:t xml:space="preserve">₹4.91 L</w:t>
            </w:r>
          </w:p>
        </w:tc>
        <w:tc>
          <w:tcPr>
            <w:tcW w:type="dxa" w:w="2200"/>
            <w:shd w:fill="FFFFFF" w:val="clear"/>
            <w:tcMar>
              <w:top w:type="dxa" w:w="100"/>
              <w:left w:type="dxa" w:w="120"/>
              <w:bottom w:type="dxa" w:w="100"/>
              <w:right w:type="dxa" w:w="120"/>
            </w:tcMar>
          </w:tcPr>
          <w:p>
            <w:r>
              <w:rPr>
                <w:b w:val="false"/>
                <w:bCs w:val="false"/>
                <w:sz w:val="20"/>
                <w:szCs w:val="20"/>
              </w:rPr>
              <w:t xml:space="preserve">₹19.69 L</w:t>
            </w:r>
          </w:p>
        </w:tc>
      </w:tr>
      <w:tr>
        <w:tc>
          <w:tcPr>
            <w:tcW w:type="dxa" w:w="3400"/>
            <w:shd w:fill="EDF3EE" w:val="clear"/>
            <w:tcMar>
              <w:top w:type="dxa" w:w="100"/>
              <w:left w:type="dxa" w:w="120"/>
              <w:bottom w:type="dxa" w:w="100"/>
              <w:right w:type="dxa" w:w="120"/>
            </w:tcMar>
          </w:tcPr>
          <w:p>
            <w:r>
              <w:rPr>
                <w:b/>
                <w:bCs/>
                <w:sz w:val="20"/>
                <w:szCs w:val="20"/>
              </w:rPr>
              <w:t xml:space="preserve">Fixed monthly operating cost</w:t>
            </w:r>
          </w:p>
        </w:tc>
        <w:tc>
          <w:tcPr>
            <w:tcW w:type="dxa" w:w="2200"/>
            <w:shd w:fill="EDF3EE" w:val="clear"/>
            <w:tcMar>
              <w:top w:type="dxa" w:w="100"/>
              <w:left w:type="dxa" w:w="120"/>
              <w:bottom w:type="dxa" w:w="100"/>
              <w:right w:type="dxa" w:w="120"/>
            </w:tcMar>
          </w:tcPr>
          <w:p>
            <w:r>
              <w:rPr>
                <w:b w:val="false"/>
                <w:bCs w:val="false"/>
                <w:sz w:val="20"/>
                <w:szCs w:val="20"/>
              </w:rPr>
              <w:t xml:space="preserve">₹3.20 L</w:t>
            </w:r>
          </w:p>
        </w:tc>
        <w:tc>
          <w:tcPr>
            <w:tcW w:type="dxa" w:w="2200"/>
            <w:shd w:fill="EDF3EE" w:val="clear"/>
            <w:tcMar>
              <w:top w:type="dxa" w:w="100"/>
              <w:left w:type="dxa" w:w="120"/>
              <w:bottom w:type="dxa" w:w="100"/>
              <w:right w:type="dxa" w:w="120"/>
            </w:tcMar>
          </w:tcPr>
          <w:p>
            <w:r>
              <w:rPr>
                <w:b w:val="false"/>
                <w:bCs w:val="false"/>
                <w:sz w:val="20"/>
                <w:szCs w:val="20"/>
              </w:rPr>
              <w:t xml:space="preserve">₹3.50 L</w:t>
            </w:r>
          </w:p>
        </w:tc>
        <w:tc>
          <w:tcPr>
            <w:tcW w:type="dxa" w:w="2200"/>
            <w:shd w:fill="EDF3EE" w:val="clear"/>
            <w:tcMar>
              <w:top w:type="dxa" w:w="100"/>
              <w:left w:type="dxa" w:w="120"/>
              <w:bottom w:type="dxa" w:w="100"/>
              <w:right w:type="dxa" w:w="120"/>
            </w:tcMar>
          </w:tcPr>
          <w:p>
            <w:r>
              <w:rPr>
                <w:b w:val="false"/>
                <w:bCs w:val="false"/>
                <w:sz w:val="20"/>
                <w:szCs w:val="20"/>
              </w:rPr>
              <w:t xml:space="preserve">₹6.00 L</w:t>
            </w:r>
          </w:p>
        </w:tc>
      </w:tr>
      <w:tr>
        <w:tc>
          <w:tcPr>
            <w:tcW w:type="dxa" w:w="3400"/>
            <w:shd w:fill="FFFFFF" w:val="clear"/>
            <w:tcMar>
              <w:top w:type="dxa" w:w="100"/>
              <w:left w:type="dxa" w:w="120"/>
              <w:bottom w:type="dxa" w:w="100"/>
              <w:right w:type="dxa" w:w="120"/>
            </w:tcMar>
          </w:tcPr>
          <w:p>
            <w:r>
              <w:rPr>
                <w:b/>
                <w:bCs/>
                <w:sz w:val="20"/>
                <w:szCs w:val="20"/>
              </w:rPr>
              <w:t xml:space="preserve">Net monthly result</w:t>
            </w:r>
          </w:p>
        </w:tc>
        <w:tc>
          <w:tcPr>
            <w:tcW w:type="dxa" w:w="2200"/>
            <w:shd w:fill="FFFFFF" w:val="clear"/>
            <w:tcMar>
              <w:top w:type="dxa" w:w="100"/>
              <w:left w:type="dxa" w:w="120"/>
              <w:bottom w:type="dxa" w:w="100"/>
              <w:right w:type="dxa" w:w="120"/>
            </w:tcMar>
          </w:tcPr>
          <w:p>
            <w:r>
              <w:rPr>
                <w:b w:val="false"/>
                <w:bCs w:val="false"/>
                <w:sz w:val="20"/>
                <w:szCs w:val="20"/>
              </w:rPr>
              <w:t xml:space="preserve">−₹2.18 L</w:t>
            </w:r>
          </w:p>
        </w:tc>
        <w:tc>
          <w:tcPr>
            <w:tcW w:type="dxa" w:w="2200"/>
            <w:shd w:fill="FFFFFF" w:val="clear"/>
            <w:tcMar>
              <w:top w:type="dxa" w:w="100"/>
              <w:left w:type="dxa" w:w="120"/>
              <w:bottom w:type="dxa" w:w="100"/>
              <w:right w:type="dxa" w:w="120"/>
            </w:tcMar>
          </w:tcPr>
          <w:p>
            <w:r>
              <w:rPr>
                <w:b w:val="false"/>
                <w:bCs w:val="false"/>
                <w:sz w:val="20"/>
                <w:szCs w:val="20"/>
              </w:rPr>
              <w:t xml:space="preserve">+₹1.41 L</w:t>
            </w:r>
          </w:p>
        </w:tc>
        <w:tc>
          <w:tcPr>
            <w:tcW w:type="dxa" w:w="2200"/>
            <w:shd w:fill="FFFFFF" w:val="clear"/>
            <w:tcMar>
              <w:top w:type="dxa" w:w="100"/>
              <w:left w:type="dxa" w:w="120"/>
              <w:bottom w:type="dxa" w:w="100"/>
              <w:right w:type="dxa" w:w="120"/>
            </w:tcMar>
          </w:tcPr>
          <w:p>
            <w:r>
              <w:rPr>
                <w:b w:val="false"/>
                <w:bCs w:val="false"/>
                <w:sz w:val="20"/>
                <w:szCs w:val="20"/>
              </w:rPr>
              <w:t xml:space="preserve">+₹13.69 L</w:t>
            </w:r>
          </w:p>
        </w:tc>
      </w:tr>
      <w:tr>
        <w:tc>
          <w:tcPr>
            <w:tcW w:type="dxa" w:w="3400"/>
            <w:shd w:fill="EDF3EE" w:val="clear"/>
            <w:tcMar>
              <w:top w:type="dxa" w:w="100"/>
              <w:left w:type="dxa" w:w="120"/>
              <w:bottom w:type="dxa" w:w="100"/>
              <w:right w:type="dxa" w:w="120"/>
            </w:tcMar>
          </w:tcPr>
          <w:p>
            <w:r>
              <w:rPr>
                <w:b/>
                <w:bCs/>
                <w:sz w:val="20"/>
                <w:szCs w:val="20"/>
              </w:rPr>
              <w:t xml:space="preserve">Indicative annualised revenue</w:t>
            </w:r>
          </w:p>
        </w:tc>
        <w:tc>
          <w:tcPr>
            <w:tcW w:type="dxa" w:w="2200"/>
            <w:shd w:fill="EDF3EE" w:val="clear"/>
            <w:tcMar>
              <w:top w:type="dxa" w:w="100"/>
              <w:left w:type="dxa" w:w="120"/>
              <w:bottom w:type="dxa" w:w="100"/>
              <w:right w:type="dxa" w:w="120"/>
            </w:tcMar>
          </w:tcPr>
          <w:p>
            <w:r>
              <w:rPr>
                <w:b w:val="false"/>
                <w:bCs w:val="false"/>
                <w:sz w:val="20"/>
                <w:szCs w:val="20"/>
              </w:rPr>
              <w:t xml:space="preserve">≈ ₹0.60 Cr</w:t>
            </w:r>
          </w:p>
        </w:tc>
        <w:tc>
          <w:tcPr>
            <w:tcW w:type="dxa" w:w="2200"/>
            <w:shd w:fill="EDF3EE" w:val="clear"/>
            <w:tcMar>
              <w:top w:type="dxa" w:w="100"/>
              <w:left w:type="dxa" w:w="120"/>
              <w:bottom w:type="dxa" w:w="100"/>
              <w:right w:type="dxa" w:w="120"/>
            </w:tcMar>
          </w:tcPr>
          <w:p>
            <w:r>
              <w:rPr>
                <w:b w:val="false"/>
                <w:bCs w:val="false"/>
                <w:sz w:val="20"/>
                <w:szCs w:val="20"/>
              </w:rPr>
              <w:t xml:space="preserve">≈ ₹2.43 Cr</w:t>
            </w:r>
          </w:p>
        </w:tc>
        <w:tc>
          <w:tcPr>
            <w:tcW w:type="dxa" w:w="2200"/>
            <w:shd w:fill="EDF3EE" w:val="clear"/>
            <w:tcMar>
              <w:top w:type="dxa" w:w="100"/>
              <w:left w:type="dxa" w:w="120"/>
              <w:bottom w:type="dxa" w:w="100"/>
              <w:right w:type="dxa" w:w="120"/>
            </w:tcMar>
          </w:tcPr>
          <w:p>
            <w:r>
              <w:rPr>
                <w:b w:val="false"/>
                <w:bCs w:val="false"/>
                <w:sz w:val="20"/>
                <w:szCs w:val="20"/>
              </w:rPr>
              <w:t xml:space="preserve">≈ ₹8.70 Cr</w:t>
            </w:r>
          </w:p>
        </w:tc>
      </w:tr>
    </w:tbl>
    <w:p>
      <w:pPr>
        <w:spacing w:after="200"/>
      </w:pPr>
    </w:p>
    <w:p>
      <w:pPr>
        <w:spacing w:after="160" w:line="300"/>
      </w:pPr>
      <w:r>
        <w:rPr>
          <w:sz w:val="22"/>
          <w:szCs w:val="22"/>
        </w:rPr>
        <w:t xml:space="preserve">Reading the model: the Worst case (low footfall, few subscribers) runs at a monthly loss — meaning the business needs to clear a minimum threshold of subscribers and footfall before it breaks even. The Average case is modestly profitable and plausible for a well-located store with decent execution. The Best case shows the real upside is in scaling Calin Pack subscriptions and corporate contracts, not the walk-in grocery leg, whose margins stay thin even at high volume.</w:t>
      </w:r>
    </w:p>
    <w:p>
      <w:pPr>
        <w:pStyle w:val="Heading1"/>
        <w:spacing w:after="200" w:before="400"/>
      </w:pPr>
      <w:r>
        <w:rPr>
          <w:b/>
          <w:bCs/>
          <w:color w:val="1F3B4D"/>
          <w:sz w:val="30"/>
          <w:szCs w:val="30"/>
        </w:rPr>
        <w:t xml:space="preserve">8. Is This Workable? — Overall Assessment</w:t>
      </w:r>
    </w:p>
    <w:p>
      <w:pPr>
        <w:pBdr>
          <w:left w:val="single" w:color="1F3B4D" w:sz="24" w:space="8"/>
        </w:pBdr>
        <w:shd w:fill="EDF3EE" w:val="clear"/>
        <w:spacing w:after="240" w:before="160"/>
        <w:ind w:left="100"/>
      </w:pPr>
      <w:r>
        <w:rPr>
          <w:b/>
          <w:bCs/>
          <w:i w:val="false"/>
          <w:iCs w:val="false"/>
          <w:sz w:val="22"/>
          <w:szCs w:val="22"/>
        </w:rPr>
        <w:t xml:space="preserve">Verdict: Yes, the core idea is workable — but as a phased build focused on the Calin Pack/subscription/nutrition layer, not as a single big-bang launch of a full-format grocery store.</w:t>
      </w:r>
    </w:p>
    <w:p>
      <w:pPr>
        <w:spacing w:after="160" w:line="300"/>
      </w:pPr>
      <w:r>
        <w:rPr>
          <w:sz w:val="22"/>
          <w:szCs w:val="22"/>
        </w:rPr>
        <w:t xml:space="preserve">Reasons for optimism:</w:t>
      </w:r>
    </w:p>
    <w:p>
      <w:pPr>
        <w:pStyle w:val="ListParagraph"/>
        <w:numPr>
          <w:ilvl w:val="0"/>
          <w:numId w:val="2"/>
        </w:numPr>
        <w:spacing w:after="90"/>
      </w:pPr>
      <w:r>
        <w:rPr>
          <w:sz w:val="22"/>
          <w:szCs w:val="22"/>
        </w:rPr>
        <w:t xml:space="preserve">The underlying problem is real and already validated in the Indian market — personalised-nutrition and AI-coaching players (e.g. HealthifyMe) and a broad base of India-based personalised-nutrition startups show consumers will pay for nutrition guidance and curated food.</w:t>
      </w:r>
    </w:p>
    <w:p>
      <w:pPr>
        <w:pStyle w:val="ListParagraph"/>
        <w:numPr>
          <w:ilvl w:val="0"/>
          <w:numId w:val="2"/>
        </w:numPr>
        <w:spacing w:after="90"/>
      </w:pPr>
      <w:r>
        <w:rPr>
          <w:sz w:val="22"/>
          <w:szCs w:val="22"/>
        </w:rPr>
        <w:t xml:space="preserve">The three-layer design (store + app + Calin Packs) gives multiple ways to monetise the same customer relationship: product margin, subscription revenue, and service fees.</w:t>
      </w:r>
    </w:p>
    <w:p>
      <w:pPr>
        <w:spacing w:after="160" w:line="300"/>
      </w:pPr>
      <w:r>
        <w:rPr>
          <w:sz w:val="22"/>
          <w:szCs w:val="22"/>
        </w:rPr>
        <w:t xml:space="preserve">Reasons for caution, and why the phasing above matters:</w:t>
      </w:r>
    </w:p>
    <w:p>
      <w:pPr>
        <w:pStyle w:val="ListParagraph"/>
        <w:numPr>
          <w:ilvl w:val="0"/>
          <w:numId w:val="2"/>
        </w:numPr>
        <w:spacing w:after="90"/>
      </w:pPr>
      <w:r>
        <w:rPr>
          <w:sz w:val="22"/>
          <w:szCs w:val="22"/>
        </w:rPr>
        <w:t xml:space="preserve">Plain grocery retail runs on thin margins industry-wide (roughly 8–18% gross, 1–4% net) — it should be treated as a footfall/trust driver, not the profit engine. The differentiated margin lives in Calin Packs and nutrition services.</w:t>
      </w:r>
    </w:p>
    <w:p>
      <w:pPr>
        <w:pStyle w:val="ListParagraph"/>
        <w:numPr>
          <w:ilvl w:val="0"/>
          <w:numId w:val="2"/>
        </w:numPr>
        <w:spacing w:after="90"/>
      </w:pPr>
      <w:r>
        <w:rPr>
          <w:sz w:val="22"/>
          <w:szCs w:val="22"/>
        </w:rPr>
        <w:t xml:space="preserve">Subscription food products see meaningfully higher churn than most other subscription categories — retention design isn't optional, it's core to whether the unit economics work at all.</w:t>
      </w:r>
    </w:p>
    <w:p>
      <w:pPr>
        <w:pStyle w:val="ListParagraph"/>
        <w:numPr>
          <w:ilvl w:val="0"/>
          <w:numId w:val="2"/>
        </w:numPr>
        <w:spacing w:after="90"/>
      </w:pPr>
      <w:r>
        <w:rPr>
          <w:sz w:val="22"/>
          <w:szCs w:val="22"/>
        </w:rPr>
        <w:t xml:space="preserve">Running a physical store, cold-chain groceries, a consumer app with AI, and a health-advisory service simultaneously is a lot for a first venture to execute well at once — sequencing reduces the risk of spreading capital and attention too thin.</w:t>
      </w:r>
    </w:p>
    <w:p>
      <w:pPr>
        <w:spacing w:after="160" w:line="300"/>
      </w:pPr>
      <w:r>
        <w:rPr>
          <w:sz w:val="22"/>
          <w:szCs w:val="22"/>
        </w:rPr>
        <w:t xml:space="preserve">Bottom line: worth pursuing, ideally starting with a lean pilot (app + Calin Pack subscription, minimal physical footprint) to prove people will actually subscribe and stay subscribed at the proposed price points, before committing capital to a full nutrient-organised store.</w:t>
      </w:r>
    </w:p>
    <w:p>
      <w:pPr>
        <w:pStyle w:val="Heading1"/>
        <w:spacing w:after="200" w:before="400"/>
      </w:pPr>
      <w:r>
        <w:rPr>
          <w:b/>
          <w:bCs/>
          <w:color w:val="1F3B4D"/>
          <w:sz w:val="30"/>
          <w:szCs w:val="30"/>
        </w:rPr>
        <w:t xml:space="preserve">9. Summary</w:t>
      </w:r>
    </w:p>
    <w:p>
      <w:pPr>
        <w:spacing w:after="160" w:line="300"/>
      </w:pPr>
      <w:r>
        <w:rPr>
          <w:sz w:val="22"/>
          <w:szCs w:val="22"/>
        </w:rPr>
        <w:t xml:space="preserve">Nutriverse combines three layers into one concept: (1) a physical grocery store organised around nutrients rather than conventional categories, with minimal, information-rich packaging; (2) a digital layer — the Nutriverse app — for barcode-based nutrition lookup and AI-guided food advice; and (3) Calin Packs, tiered and personalisable daily nutrition bundles with in-store nutritionist support and home delivery/subscription options. Together these address the core problem: people not consuming the calories and nutrients their bodies actually need, by making the right nutrition the easiest thing to buy — with the strongest near-term path being a phased rollout that proves the Calin Pack subscription model before scaling into full physical retail.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2026-07-30T16:25:10.135Z</dcterms:created>
  <dcterms:modified xsi:type="dcterms:W3CDTF">2026-07-30T16:25:10.151Z</dcterms:modified>
</cp:coreProperties>
</file>

<file path=docProps/custom.xml><?xml version="1.0" encoding="utf-8"?>
<Properties xmlns="http://schemas.openxmlformats.org/officeDocument/2006/custom-properties" xmlns:vt="http://schemas.openxmlformats.org/officeDocument/2006/docPropsVTypes"/>
</file>