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Improvement 7 Workflow Guide</w:t>
      </w:r>
    </w:p>
    <w:p>
      <w:r>
        <w:rPr>
          <w:b w:val="0"/>
        </w:rPr>
        <w:t>Follow a question from interpretation to a saved answer. This guide explains the agents, operators, recovery limits, measured model calls and the files that control the workflow.</w:t>
      </w:r>
    </w:p>
    <w:p>
      <w:r>
        <w:drawing>
          <wp:inline xmlns:a="http://schemas.openxmlformats.org/drawingml/2006/main" xmlns:pic="http://schemas.openxmlformats.org/drawingml/2006/picture">
            <wp:extent cx="6492240" cy="5657523"/>
            <wp:docPr id="1" name="Picture 1"/>
            <wp:cNvGraphicFramePr>
              <a:graphicFrameLocks noChangeAspect="1"/>
            </wp:cNvGraphicFramePr>
            <a:graphic>
              <a:graphicData uri="http://schemas.openxmlformats.org/drawingml/2006/picture">
                <pic:pic>
                  <pic:nvPicPr>
                    <pic:cNvPr id="0" name="Main_workflow.png"/>
                    <pic:cNvPicPr/>
                  </pic:nvPicPr>
                  <pic:blipFill>
                    <a:blip r:embed="rId11"/>
                    <a:stretch>
                      <a:fillRect/>
                    </a:stretch>
                  </pic:blipFill>
                  <pic:spPr>
                    <a:xfrm>
                      <a:off x="0" y="0"/>
                      <a:ext cx="6492240" cy="5657523"/>
                    </a:xfrm>
                    <a:prstGeom prst="rect"/>
                  </pic:spPr>
                </pic:pic>
              </a:graphicData>
            </a:graphic>
          </wp:inline>
        </w:drawing>
      </w:r>
    </w:p>
    <w:p>
      <w:r>
        <w:rPr>
          <w:b w:val="0"/>
        </w:rPr>
        <w:t>Blue = stage that can call a model, not a guarantee that it does. Green = local code. Gray = inputs or outputs. This is the forward path; the separate recovery map shows repeated calls and consultation. Generate uses an LLM only if local rendering cannot produce SQL.</w:t>
      </w:r>
    </w:p>
    <w:p>
      <w:r>
        <w:rPr>
          <w:b/>
        </w:rPr>
        <w:t>Read left to right within each row, then follow the arrow to the next row. Branches are logical data paths; the executor does not automatically run them in parallel.</w:t>
      </w:r>
    </w:p>
    <w:p>
      <w:pPr>
        <w:pStyle w:val="Heading1"/>
        <w:pageBreakBefore/>
        <w:spacing w:before="0"/>
      </w:pPr>
      <w:r>
        <w:t>What the two agents do</w:t>
      </w:r>
    </w:p>
    <w:p>
      <w:pPr>
        <w:pStyle w:val="Heading2"/>
      </w:pPr>
      <w:r>
        <w:t>Domain Knowledge Agent learns the shared rules</w:t>
      </w:r>
    </w:p>
    <w:p>
      <w:r>
        <w:rPr>
          <w:b w:val="0"/>
        </w:rPr>
        <w:t>At startup, this agent reads the authorized domain documents and schema. It produces a reusable, cited business knowledge pack. A matching cached pack avoids another model call. It does not read the test answer or query database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04"/>
        <w:gridCol w:w="6120"/>
      </w:tblGrid>
      <w:tr>
        <w:trPr>
          <w:tblHeader/>
          <w:cantSplit/>
        </w:trPr>
        <w:tc>
          <w:tcPr>
            <w:tcW w:type="dxa" w:w="4104"/>
            <w:vAlign w:val="center"/>
            <w:shd w:fill="37474F"/>
            <w:tcMar>
              <w:top w:w="95" w:type="dxa"/>
              <w:left w:w="95" w:type="dxa"/>
              <w:bottom w:w="95" w:type="dxa"/>
              <w:right w:w="95" w:type="dxa"/>
            </w:tcMar>
          </w:tcPr>
          <w:p>
            <w:pPr>
              <w:spacing w:after="40" w:line="240" w:lineRule="auto"/>
            </w:pPr>
            <w:r>
              <w:rPr>
                <w:b/>
                <w:color w:val="FFFFFF"/>
                <w:sz w:val="21"/>
              </w:rPr>
              <w:t>Input</w:t>
            </w:r>
          </w:p>
        </w:tc>
        <w:tc>
          <w:tcPr>
            <w:tcW w:type="dxa" w:w="6120"/>
            <w:vAlign w:val="center"/>
            <w:shd w:fill="37474F"/>
            <w:tcMar>
              <w:top w:w="95" w:type="dxa"/>
              <w:left w:w="95" w:type="dxa"/>
              <w:bottom w:w="95" w:type="dxa"/>
              <w:right w:w="95" w:type="dxa"/>
            </w:tcMar>
          </w:tcPr>
          <w:p>
            <w:pPr>
              <w:spacing w:after="40" w:line="240" w:lineRule="auto"/>
            </w:pPr>
            <w:r>
              <w:rPr>
                <w:b/>
                <w:color w:val="FFFFFF"/>
                <w:sz w:val="21"/>
              </w:rPr>
              <w:t>What it contributes</w:t>
            </w:r>
          </w:p>
        </w:tc>
      </w:tr>
      <w:tr>
        <w:trPr>
          <w:cantSplit/>
        </w:trPr>
        <w:tc>
          <w:tcPr>
            <w:tcW w:type="dxa" w:w="4104"/>
            <w:vAlign w:val="center"/>
            <w:shd w:fill="FFFFFF"/>
            <w:tcMar>
              <w:top w:w="95" w:type="dxa"/>
              <w:left w:w="95" w:type="dxa"/>
              <w:bottom w:w="95" w:type="dxa"/>
              <w:right w:w="95" w:type="dxa"/>
            </w:tcMar>
          </w:tcPr>
          <w:p>
            <w:pPr>
              <w:spacing w:after="40" w:line="240" w:lineRule="auto"/>
            </w:pPr>
            <w:r>
              <w:rPr>
                <w:sz w:val="21"/>
              </w:rPr>
              <w:t>domain_intro_latest.prompt</w:t>
            </w:r>
          </w:p>
        </w:tc>
        <w:tc>
          <w:tcPr>
            <w:tcW w:type="dxa" w:w="6120"/>
            <w:vAlign w:val="center"/>
            <w:shd w:fill="FFFFFF"/>
            <w:tcMar>
              <w:top w:w="95" w:type="dxa"/>
              <w:left w:w="95" w:type="dxa"/>
              <w:bottom w:w="95" w:type="dxa"/>
              <w:right w:w="95" w:type="dxa"/>
            </w:tcMar>
          </w:tcPr>
          <w:p>
            <w:pPr>
              <w:spacing w:after="40" w:line="240" w:lineRule="auto"/>
            </w:pPr>
            <w:r>
              <w:rPr>
                <w:sz w:val="21"/>
              </w:rPr>
              <w:t>General wealth management concepts and domain context.</w:t>
            </w:r>
          </w:p>
        </w:tc>
      </w:tr>
      <w:tr>
        <w:trPr>
          <w:cantSplit/>
        </w:trPr>
        <w:tc>
          <w:tcPr>
            <w:tcW w:type="dxa" w:w="4104"/>
            <w:vAlign w:val="center"/>
            <w:shd w:fill="F2F5F6"/>
            <w:tcMar>
              <w:top w:w="95" w:type="dxa"/>
              <w:left w:w="95" w:type="dxa"/>
              <w:bottom w:w="95" w:type="dxa"/>
              <w:right w:w="95" w:type="dxa"/>
            </w:tcMar>
          </w:tcPr>
          <w:p>
            <w:pPr>
              <w:spacing w:after="40" w:line="240" w:lineRule="auto"/>
            </w:pPr>
            <w:r>
              <w:rPr>
                <w:sz w:val="21"/>
              </w:rPr>
              <w:t>business_rules_addendum.md</w:t>
            </w:r>
          </w:p>
        </w:tc>
        <w:tc>
          <w:tcPr>
            <w:tcW w:type="dxa" w:w="6120"/>
            <w:vAlign w:val="center"/>
            <w:shd w:fill="F2F5F6"/>
            <w:tcMar>
              <w:top w:w="95" w:type="dxa"/>
              <w:left w:w="95" w:type="dxa"/>
              <w:bottom w:w="95" w:type="dxa"/>
              <w:right w:w="95" w:type="dxa"/>
            </w:tcMar>
          </w:tcPr>
          <w:p>
            <w:pPr>
              <w:spacing w:after="40" w:line="240" w:lineRule="auto"/>
            </w:pPr>
            <w:r>
              <w:rPr>
                <w:sz w:val="21"/>
              </w:rPr>
              <w:t>Business definitions, formulas and rules to follow.</w:t>
            </w:r>
          </w:p>
        </w:tc>
      </w:tr>
      <w:tr>
        <w:trPr>
          <w:cantSplit/>
        </w:trPr>
        <w:tc>
          <w:tcPr>
            <w:tcW w:type="dxa" w:w="4104"/>
            <w:vAlign w:val="center"/>
            <w:shd w:fill="FFFFFF"/>
            <w:tcMar>
              <w:top w:w="95" w:type="dxa"/>
              <w:left w:w="95" w:type="dxa"/>
              <w:bottom w:w="95" w:type="dxa"/>
              <w:right w:w="95" w:type="dxa"/>
            </w:tcMar>
          </w:tcPr>
          <w:p>
            <w:pPr>
              <w:spacing w:after="40" w:line="240" w:lineRule="auto"/>
            </w:pPr>
            <w:r>
              <w:rPr>
                <w:sz w:val="21"/>
              </w:rPr>
              <w:t>table_medatada/*.yaml</w:t>
            </w:r>
          </w:p>
        </w:tc>
        <w:tc>
          <w:tcPr>
            <w:tcW w:type="dxa" w:w="6120"/>
            <w:vAlign w:val="center"/>
            <w:shd w:fill="FFFFFF"/>
            <w:tcMar>
              <w:top w:w="95" w:type="dxa"/>
              <w:left w:w="95" w:type="dxa"/>
              <w:bottom w:w="95" w:type="dxa"/>
              <w:right w:w="95" w:type="dxa"/>
            </w:tcMar>
          </w:tcPr>
          <w:p>
            <w:pPr>
              <w:spacing w:after="40" w:line="240" w:lineRule="auto"/>
            </w:pPr>
            <w:r>
              <w:rPr>
                <w:sz w:val="21"/>
              </w:rPr>
              <w:t>Table and column meanings, synonyms and enum descriptions.</w:t>
            </w:r>
          </w:p>
        </w:tc>
      </w:tr>
      <w:tr>
        <w:trPr>
          <w:cantSplit/>
        </w:trPr>
        <w:tc>
          <w:tcPr>
            <w:tcW w:type="dxa" w:w="4104"/>
            <w:vAlign w:val="center"/>
            <w:shd w:fill="F2F5F6"/>
            <w:tcMar>
              <w:top w:w="95" w:type="dxa"/>
              <w:left w:w="95" w:type="dxa"/>
              <w:bottom w:w="95" w:type="dxa"/>
              <w:right w:w="95" w:type="dxa"/>
            </w:tcMar>
          </w:tcPr>
          <w:p>
            <w:pPr>
              <w:spacing w:after="40" w:line="240" w:lineRule="auto"/>
            </w:pPr>
            <w:r>
              <w:rPr>
                <w:sz w:val="21"/>
              </w:rPr>
              <w:t>SQLite physical schema</w:t>
            </w:r>
          </w:p>
        </w:tc>
        <w:tc>
          <w:tcPr>
            <w:tcW w:type="dxa" w:w="6120"/>
            <w:vAlign w:val="center"/>
            <w:shd w:fill="F2F5F6"/>
            <w:tcMar>
              <w:top w:w="95" w:type="dxa"/>
              <w:left w:w="95" w:type="dxa"/>
              <w:bottom w:w="95" w:type="dxa"/>
              <w:right w:w="95" w:type="dxa"/>
            </w:tcMar>
          </w:tcPr>
          <w:p>
            <w:pPr>
              <w:spacing w:after="40" w:line="240" w:lineRule="auto"/>
            </w:pPr>
            <w:r>
              <w:rPr>
                <w:sz w:val="21"/>
              </w:rPr>
              <w:t>Which tables and columns actually exist.</w:t>
            </w:r>
          </w:p>
        </w:tc>
      </w:tr>
    </w:tbl>
    <w:p>
      <w:pPr>
        <w:spacing w:after="0"/>
      </w:pPr>
    </w:p>
    <w:p>
      <w:r>
        <w:rPr>
          <w:b w:val="0"/>
        </w:rPr>
        <w:t>The YAML files describe the data; they are not an extra agent and do not execute rules by themselves. The physical database remains the authority for real table and column names.</w:t>
      </w:r>
    </w:p>
    <w:p>
      <w:pPr>
        <w:pStyle w:val="Heading2"/>
      </w:pPr>
      <w:r>
        <w:t>Query Understanding Agent interprets one question</w:t>
      </w:r>
    </w:p>
    <w:p>
      <w:r>
        <w:rPr>
          <w:b w:val="0"/>
        </w:rPr>
        <w:t>For each question, it uses the annotated schema and business knowledge to propose a contract: which fields mean what, needed metrics, filters, grouping, projected columns, ordering and limits. Later stages can use this contract to stay aligned with the question.</w:t>
      </w:r>
    </w:p>
    <w:p>
      <w:pPr>
        <w:pStyle w:val="Heading2"/>
      </w:pPr>
      <w:r>
        <w:t>A simple illustrative question</w:t>
      </w:r>
    </w:p>
    <w:p>
      <w:r>
        <w:rPr>
          <w:b w:val="0"/>
        </w:rPr>
        <w:t>Example: "Show total transaction amount per client for last month." This is illustrative, not a benchmark answer or a promise about exact column names.</w:t>
      </w:r>
    </w:p>
    <w:p>
      <w:r>
        <w:rPr>
          <w:b w:val="0"/>
        </w:rPr>
        <w:t>1. Domain context supplies definitions such as what a client, amount and transaction date mean. Query Understanding binds those meanings to actual schema fields and identifies the time filter and per-client grouping.</w:t>
      </w:r>
    </w:p>
    <w:p>
      <w:r>
        <w:rPr>
          <w:b w:val="0"/>
        </w:rPr>
        <w:t>2. Retrieve selects the relevant tables. Decompose creates the source branches. Query_Spec requests raw IDs, amounts and dates; Generate and Scan fetch the rows.</w:t>
      </w:r>
    </w:p>
    <w:p>
      <w:r>
        <w:rPr>
          <w:b w:val="0"/>
        </w:rPr>
        <w:t>3. Final_Spec plans any needed join, filter and sum. Local operators execute that plan. Validate and Explain prepare the result for the report.</w:t>
      </w:r>
    </w:p>
    <w:p>
      <w:pPr>
        <w:pStyle w:val="Heading2"/>
      </w:pPr>
      <w:r>
        <w:t>What happens when another stage asks an agent</w:t>
      </w:r>
    </w:p>
    <w:p>
      <w:r>
        <w:rPr>
          <w:b w:val="0"/>
        </w:rPr>
        <w:t>Most stages receive the already compiled context; receiving context is not another agent call. Optional live consultation is different: with agent consultation enabled, Decompose, Query_Spec and Final_Spec can request focused advice. Generate and Scan do not directly request that advice. See the recovery page for the budget and restart behavior.</w:t>
      </w:r>
    </w:p>
    <w:p>
      <w:pPr>
        <w:pStyle w:val="Heading1"/>
        <w:pageBreakBefore/>
        <w:spacing w:before="0"/>
      </w:pPr>
      <w:r>
        <w:t>Important operators</w:t>
      </w:r>
    </w:p>
    <w:p>
      <w:r>
        <w:rPr>
          <w:b w:val="0"/>
        </w:rPr>
        <w:t>An operator is one named step in the pipeline. A model-assisted operator proposes a plan; local Python and SQLite perform the actual data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6192"/>
        <w:gridCol w:w="1728"/>
      </w:tblGrid>
      <w:tr>
        <w:trPr>
          <w:tblHeader/>
          <w:cantSplit/>
        </w:trPr>
        <w:tc>
          <w:tcPr>
            <w:tcW w:type="dxa" w:w="2304"/>
            <w:vAlign w:val="center"/>
            <w:shd w:fill="37474F"/>
            <w:tcMar>
              <w:top w:w="95" w:type="dxa"/>
              <w:left w:w="95" w:type="dxa"/>
              <w:bottom w:w="95" w:type="dxa"/>
              <w:right w:w="95" w:type="dxa"/>
            </w:tcMar>
          </w:tcPr>
          <w:p>
            <w:pPr>
              <w:spacing w:after="40" w:line="240" w:lineRule="auto"/>
            </w:pPr>
            <w:r>
              <w:rPr>
                <w:b/>
                <w:color w:val="FFFFFF"/>
                <w:sz w:val="21"/>
              </w:rPr>
              <w:t>Operator</w:t>
            </w:r>
          </w:p>
        </w:tc>
        <w:tc>
          <w:tcPr>
            <w:tcW w:type="dxa" w:w="6192"/>
            <w:vAlign w:val="center"/>
            <w:shd w:fill="37474F"/>
            <w:tcMar>
              <w:top w:w="95" w:type="dxa"/>
              <w:left w:w="95" w:type="dxa"/>
              <w:bottom w:w="95" w:type="dxa"/>
              <w:right w:w="95" w:type="dxa"/>
            </w:tcMar>
          </w:tcPr>
          <w:p>
            <w:pPr>
              <w:spacing w:after="40" w:line="240" w:lineRule="auto"/>
            </w:pPr>
            <w:r>
              <w:rPr>
                <w:b/>
                <w:color w:val="FFFFFF"/>
                <w:sz w:val="21"/>
              </w:rPr>
              <w:t>Job</w:t>
            </w:r>
          </w:p>
        </w:tc>
        <w:tc>
          <w:tcPr>
            <w:tcW w:type="dxa" w:w="1728"/>
            <w:vAlign w:val="center"/>
            <w:shd w:fill="37474F"/>
            <w:tcMar>
              <w:top w:w="95" w:type="dxa"/>
              <w:left w:w="95" w:type="dxa"/>
              <w:bottom w:w="95" w:type="dxa"/>
              <w:right w:w="95" w:type="dxa"/>
            </w:tcMar>
          </w:tcPr>
          <w:p>
            <w:pPr>
              <w:spacing w:after="40" w:line="240" w:lineRule="auto"/>
            </w:pPr>
            <w:r>
              <w:rPr>
                <w:b/>
                <w:color w:val="FFFFFF"/>
                <w:sz w:val="21"/>
              </w:rPr>
              <w:t>Normal model calls</w:t>
            </w:r>
          </w:p>
        </w:tc>
      </w:tr>
      <w:tr>
        <w:trPr>
          <w:cantSplit/>
        </w:trPr>
        <w:tc>
          <w:tcPr>
            <w:tcW w:type="dxa" w:w="2304"/>
            <w:vAlign w:val="center"/>
            <w:shd w:fill="FFFFFF"/>
            <w:tcMar>
              <w:top w:w="95" w:type="dxa"/>
              <w:left w:w="95" w:type="dxa"/>
              <w:bottom w:w="95" w:type="dxa"/>
              <w:right w:w="95" w:type="dxa"/>
            </w:tcMar>
          </w:tcPr>
          <w:p>
            <w:pPr>
              <w:spacing w:after="40" w:line="240" w:lineRule="auto"/>
            </w:pPr>
            <w:r>
              <w:rPr>
                <w:sz w:val="21"/>
              </w:rPr>
              <w:t>Retrieve</w:t>
            </w:r>
          </w:p>
        </w:tc>
        <w:tc>
          <w:tcPr>
            <w:tcW w:type="dxa" w:w="6192"/>
            <w:vAlign w:val="center"/>
            <w:shd w:fill="FFFFFF"/>
            <w:tcMar>
              <w:top w:w="95" w:type="dxa"/>
              <w:left w:w="95" w:type="dxa"/>
              <w:bottom w:w="95" w:type="dxa"/>
              <w:right w:w="95" w:type="dxa"/>
            </w:tcMar>
          </w:tcPr>
          <w:p>
            <w:pPr>
              <w:spacing w:after="40" w:line="240" w:lineRule="auto"/>
            </w:pPr>
            <w:r>
              <w:rPr>
                <w:sz w:val="21"/>
              </w:rPr>
              <w:t>Select source tables from schema.</w:t>
            </w:r>
          </w:p>
        </w:tc>
        <w:tc>
          <w:tcPr>
            <w:tcW w:type="dxa" w:w="1728"/>
            <w:vAlign w:val="center"/>
            <w:shd w:fill="FFFFFF"/>
            <w:tcMar>
              <w:top w:w="95" w:type="dxa"/>
              <w:left w:w="95" w:type="dxa"/>
              <w:bottom w:w="95" w:type="dxa"/>
              <w:right w:w="95" w:type="dxa"/>
            </w:tcMar>
          </w:tcPr>
          <w:p>
            <w:pPr>
              <w:spacing w:after="40" w:line="240" w:lineRule="auto"/>
            </w:pPr>
            <w:r>
              <w:rPr>
                <w:sz w:val="21"/>
              </w:rPr>
              <w:t>1</w:t>
            </w:r>
          </w:p>
        </w:tc>
      </w:tr>
      <w:tr>
        <w:trPr>
          <w:cantSplit/>
        </w:trPr>
        <w:tc>
          <w:tcPr>
            <w:tcW w:type="dxa" w:w="2304"/>
            <w:vAlign w:val="center"/>
            <w:shd w:fill="F2F5F6"/>
            <w:tcMar>
              <w:top w:w="95" w:type="dxa"/>
              <w:left w:w="95" w:type="dxa"/>
              <w:bottom w:w="95" w:type="dxa"/>
              <w:right w:w="95" w:type="dxa"/>
            </w:tcMar>
          </w:tcPr>
          <w:p>
            <w:pPr>
              <w:spacing w:after="40" w:line="240" w:lineRule="auto"/>
            </w:pPr>
            <w:r>
              <w:rPr>
                <w:sz w:val="21"/>
              </w:rPr>
              <w:t>Decompose</w:t>
            </w:r>
          </w:p>
        </w:tc>
        <w:tc>
          <w:tcPr>
            <w:tcW w:type="dxa" w:w="6192"/>
            <w:vAlign w:val="center"/>
            <w:shd w:fill="F2F5F6"/>
            <w:tcMar>
              <w:top w:w="95" w:type="dxa"/>
              <w:left w:w="95" w:type="dxa"/>
              <w:bottom w:w="95" w:type="dxa"/>
              <w:right w:w="95" w:type="dxa"/>
            </w:tcMar>
          </w:tcPr>
          <w:p>
            <w:pPr>
              <w:spacing w:after="40" w:line="240" w:lineRule="auto"/>
            </w:pPr>
            <w:r>
              <w:rPr>
                <w:sz w:val="21"/>
              </w:rPr>
              <w:t>Split the task into source branches.</w:t>
            </w:r>
          </w:p>
        </w:tc>
        <w:tc>
          <w:tcPr>
            <w:tcW w:type="dxa" w:w="1728"/>
            <w:vAlign w:val="center"/>
            <w:shd w:fill="F2F5F6"/>
            <w:tcMar>
              <w:top w:w="95" w:type="dxa"/>
              <w:left w:w="95" w:type="dxa"/>
              <w:bottom w:w="95" w:type="dxa"/>
              <w:right w:w="95" w:type="dxa"/>
            </w:tcMar>
          </w:tcPr>
          <w:p>
            <w:pPr>
              <w:spacing w:after="40" w:line="240" w:lineRule="auto"/>
            </w:pPr>
            <w:r>
              <w:rPr>
                <w:sz w:val="21"/>
              </w:rPr>
              <w:t>1</w:t>
            </w:r>
          </w:p>
        </w:tc>
      </w:tr>
      <w:tr>
        <w:trPr>
          <w:cantSplit/>
        </w:trPr>
        <w:tc>
          <w:tcPr>
            <w:tcW w:type="dxa" w:w="2304"/>
            <w:vAlign w:val="center"/>
            <w:shd w:fill="FFFFFF"/>
            <w:tcMar>
              <w:top w:w="95" w:type="dxa"/>
              <w:left w:w="95" w:type="dxa"/>
              <w:bottom w:w="95" w:type="dxa"/>
              <w:right w:w="95" w:type="dxa"/>
            </w:tcMar>
          </w:tcPr>
          <w:p>
            <w:pPr>
              <w:spacing w:after="40" w:line="240" w:lineRule="auto"/>
            </w:pPr>
            <w:r>
              <w:rPr>
                <w:sz w:val="21"/>
              </w:rPr>
              <w:t>Query_Spec</w:t>
            </w:r>
          </w:p>
        </w:tc>
        <w:tc>
          <w:tcPr>
            <w:tcW w:type="dxa" w:w="6192"/>
            <w:vAlign w:val="center"/>
            <w:shd w:fill="FFFFFF"/>
            <w:tcMar>
              <w:top w:w="95" w:type="dxa"/>
              <w:left w:w="95" w:type="dxa"/>
              <w:bottom w:w="95" w:type="dxa"/>
              <w:right w:w="95" w:type="dxa"/>
            </w:tcMar>
          </w:tcPr>
          <w:p>
            <w:pPr>
              <w:spacing w:after="40" w:line="240" w:lineRule="auto"/>
            </w:pPr>
            <w:r>
              <w:rPr>
                <w:sz w:val="21"/>
              </w:rPr>
              <w:t>Choose raw fields and retrieval filters.</w:t>
            </w:r>
          </w:p>
        </w:tc>
        <w:tc>
          <w:tcPr>
            <w:tcW w:type="dxa" w:w="1728"/>
            <w:vAlign w:val="center"/>
            <w:shd w:fill="FFFFFF"/>
            <w:tcMar>
              <w:top w:w="95" w:type="dxa"/>
              <w:left w:w="95" w:type="dxa"/>
              <w:bottom w:w="95" w:type="dxa"/>
              <w:right w:w="95" w:type="dxa"/>
            </w:tcMar>
          </w:tcPr>
          <w:p>
            <w:pPr>
              <w:spacing w:after="40" w:line="240" w:lineRule="auto"/>
            </w:pPr>
            <w:r>
              <w:rPr>
                <w:sz w:val="21"/>
              </w:rPr>
              <w:t>1 / branch</w:t>
            </w:r>
          </w:p>
        </w:tc>
      </w:tr>
      <w:tr>
        <w:trPr>
          <w:cantSplit/>
        </w:trPr>
        <w:tc>
          <w:tcPr>
            <w:tcW w:type="dxa" w:w="2304"/>
            <w:vAlign w:val="center"/>
            <w:shd w:fill="F2F5F6"/>
            <w:tcMar>
              <w:top w:w="95" w:type="dxa"/>
              <w:left w:w="95" w:type="dxa"/>
              <w:bottom w:w="95" w:type="dxa"/>
              <w:right w:w="95" w:type="dxa"/>
            </w:tcMar>
          </w:tcPr>
          <w:p>
            <w:pPr>
              <w:spacing w:after="40" w:line="240" w:lineRule="auto"/>
            </w:pPr>
            <w:r>
              <w:rPr>
                <w:sz w:val="21"/>
              </w:rPr>
              <w:t>Generate</w:t>
            </w:r>
          </w:p>
        </w:tc>
        <w:tc>
          <w:tcPr>
            <w:tcW w:type="dxa" w:w="6192"/>
            <w:vAlign w:val="center"/>
            <w:shd w:fill="F2F5F6"/>
            <w:tcMar>
              <w:top w:w="95" w:type="dxa"/>
              <w:left w:w="95" w:type="dxa"/>
              <w:bottom w:w="95" w:type="dxa"/>
              <w:right w:w="95" w:type="dxa"/>
            </w:tcMar>
          </w:tcPr>
          <w:p>
            <w:pPr>
              <w:spacing w:after="40" w:line="240" w:lineRule="auto"/>
            </w:pPr>
            <w:r>
              <w:rPr>
                <w:sz w:val="21"/>
              </w:rPr>
              <w:t>Render raw SQL locally, or use 1 LLM call if rendering returns None.</w:t>
            </w:r>
          </w:p>
        </w:tc>
        <w:tc>
          <w:tcPr>
            <w:tcW w:type="dxa" w:w="1728"/>
            <w:vAlign w:val="center"/>
            <w:shd w:fill="F2F5F6"/>
            <w:tcMar>
              <w:top w:w="95" w:type="dxa"/>
              <w:left w:w="95" w:type="dxa"/>
              <w:bottom w:w="95" w:type="dxa"/>
              <w:right w:w="95" w:type="dxa"/>
            </w:tcMar>
          </w:tcPr>
          <w:p>
            <w:pPr>
              <w:spacing w:after="40" w:line="240" w:lineRule="auto"/>
            </w:pPr>
            <w:r>
              <w:rPr>
                <w:sz w:val="21"/>
              </w:rPr>
              <w:t>0 or 1</w:t>
            </w:r>
          </w:p>
        </w:tc>
      </w:tr>
      <w:tr>
        <w:trPr>
          <w:cantSplit/>
        </w:trPr>
        <w:tc>
          <w:tcPr>
            <w:tcW w:type="dxa" w:w="2304"/>
            <w:vAlign w:val="center"/>
            <w:shd w:fill="FFFFFF"/>
            <w:tcMar>
              <w:top w:w="95" w:type="dxa"/>
              <w:left w:w="95" w:type="dxa"/>
              <w:bottom w:w="95" w:type="dxa"/>
              <w:right w:w="95" w:type="dxa"/>
            </w:tcMar>
          </w:tcPr>
          <w:p>
            <w:pPr>
              <w:spacing w:after="40" w:line="240" w:lineRule="auto"/>
            </w:pPr>
            <w:r>
              <w:rPr>
                <w:sz w:val="21"/>
              </w:rPr>
              <w:t>Pre_Scan_Validate</w:t>
            </w:r>
          </w:p>
        </w:tc>
        <w:tc>
          <w:tcPr>
            <w:tcW w:type="dxa" w:w="6192"/>
            <w:vAlign w:val="center"/>
            <w:shd w:fill="FFFFFF"/>
            <w:tcMar>
              <w:top w:w="95" w:type="dxa"/>
              <w:left w:w="95" w:type="dxa"/>
              <w:bottom w:w="95" w:type="dxa"/>
              <w:right w:w="95" w:type="dxa"/>
            </w:tcMar>
          </w:tcPr>
          <w:p>
            <w:pPr>
              <w:spacing w:after="40" w:line="240" w:lineRule="auto"/>
            </w:pPr>
            <w:r>
              <w:rPr>
                <w:sz w:val="21"/>
              </w:rPr>
              <w:t>Check SQL, schema and raw retrieval rules.</w:t>
            </w:r>
          </w:p>
        </w:tc>
        <w:tc>
          <w:tcPr>
            <w:tcW w:type="dxa" w:w="1728"/>
            <w:vAlign w:val="center"/>
            <w:shd w:fill="FFFFFF"/>
            <w:tcMar>
              <w:top w:w="95" w:type="dxa"/>
              <w:left w:w="95" w:type="dxa"/>
              <w:bottom w:w="95" w:type="dxa"/>
              <w:right w:w="95" w:type="dxa"/>
            </w:tcMar>
          </w:tcPr>
          <w:p>
            <w:pPr>
              <w:spacing w:after="40" w:line="240" w:lineRule="auto"/>
            </w:pPr>
            <w:r>
              <w:rPr>
                <w:sz w:val="21"/>
              </w:rPr>
              <w:t>0</w:t>
            </w:r>
          </w:p>
        </w:tc>
      </w:tr>
      <w:tr>
        <w:trPr>
          <w:cantSplit/>
        </w:trPr>
        <w:tc>
          <w:tcPr>
            <w:tcW w:type="dxa" w:w="2304"/>
            <w:vAlign w:val="center"/>
            <w:shd w:fill="F2F5F6"/>
            <w:tcMar>
              <w:top w:w="95" w:type="dxa"/>
              <w:left w:w="95" w:type="dxa"/>
              <w:bottom w:w="95" w:type="dxa"/>
              <w:right w:w="95" w:type="dxa"/>
            </w:tcMar>
          </w:tcPr>
          <w:p>
            <w:pPr>
              <w:spacing w:after="40" w:line="240" w:lineRule="auto"/>
            </w:pPr>
            <w:r>
              <w:rPr>
                <w:sz w:val="21"/>
              </w:rPr>
              <w:t>Scan</w:t>
            </w:r>
          </w:p>
        </w:tc>
        <w:tc>
          <w:tcPr>
            <w:tcW w:type="dxa" w:w="6192"/>
            <w:vAlign w:val="center"/>
            <w:shd w:fill="F2F5F6"/>
            <w:tcMar>
              <w:top w:w="95" w:type="dxa"/>
              <w:left w:w="95" w:type="dxa"/>
              <w:bottom w:w="95" w:type="dxa"/>
              <w:right w:w="95" w:type="dxa"/>
            </w:tcMar>
          </w:tcPr>
          <w:p>
            <w:pPr>
              <w:spacing w:after="40" w:line="240" w:lineRule="auto"/>
            </w:pPr>
            <w:r>
              <w:rPr>
                <w:sz w:val="21"/>
              </w:rPr>
              <w:t>Execute read-only SQLite retrieval.</w:t>
            </w:r>
          </w:p>
        </w:tc>
        <w:tc>
          <w:tcPr>
            <w:tcW w:type="dxa" w:w="1728"/>
            <w:vAlign w:val="center"/>
            <w:shd w:fill="F2F5F6"/>
            <w:tcMar>
              <w:top w:w="95" w:type="dxa"/>
              <w:left w:w="95" w:type="dxa"/>
              <w:bottom w:w="95" w:type="dxa"/>
              <w:right w:w="95" w:type="dxa"/>
            </w:tcMar>
          </w:tcPr>
          <w:p>
            <w:pPr>
              <w:spacing w:after="40" w:line="240" w:lineRule="auto"/>
            </w:pPr>
            <w:r>
              <w:rPr>
                <w:sz w:val="21"/>
              </w:rPr>
              <w:t>0</w:t>
            </w:r>
          </w:p>
        </w:tc>
      </w:tr>
      <w:tr>
        <w:trPr>
          <w:cantSplit/>
        </w:trPr>
        <w:tc>
          <w:tcPr>
            <w:tcW w:type="dxa" w:w="2304"/>
            <w:vAlign w:val="center"/>
            <w:shd w:fill="FFFFFF"/>
            <w:tcMar>
              <w:top w:w="95" w:type="dxa"/>
              <w:left w:w="95" w:type="dxa"/>
              <w:bottom w:w="95" w:type="dxa"/>
              <w:right w:w="95" w:type="dxa"/>
            </w:tcMar>
          </w:tcPr>
          <w:p>
            <w:pPr>
              <w:spacing w:after="40" w:line="240" w:lineRule="auto"/>
            </w:pPr>
            <w:r>
              <w:rPr>
                <w:sz w:val="21"/>
              </w:rPr>
              <w:t>Refine</w:t>
            </w:r>
          </w:p>
        </w:tc>
        <w:tc>
          <w:tcPr>
            <w:tcW w:type="dxa" w:w="6192"/>
            <w:vAlign w:val="center"/>
            <w:shd w:fill="FFFFFF"/>
            <w:tcMar>
              <w:top w:w="95" w:type="dxa"/>
              <w:left w:w="95" w:type="dxa"/>
              <w:bottom w:w="95" w:type="dxa"/>
              <w:right w:w="95" w:type="dxa"/>
            </w:tcMar>
          </w:tcPr>
          <w:p>
            <w:pPr>
              <w:spacing w:after="40" w:line="240" w:lineRule="auto"/>
            </w:pPr>
            <w:r>
              <w:rPr>
                <w:sz w:val="21"/>
              </w:rPr>
              <w:t>Not on the normal path. Each invocation makes 1 LLM call.</w:t>
            </w:r>
          </w:p>
        </w:tc>
        <w:tc>
          <w:tcPr>
            <w:tcW w:type="dxa" w:w="1728"/>
            <w:vAlign w:val="center"/>
            <w:shd w:fill="FFFFFF"/>
            <w:tcMar>
              <w:top w:w="95" w:type="dxa"/>
              <w:left w:w="95" w:type="dxa"/>
              <w:bottom w:w="95" w:type="dxa"/>
              <w:right w:w="95" w:type="dxa"/>
            </w:tcMar>
          </w:tcPr>
          <w:p>
            <w:pPr>
              <w:spacing w:after="40" w:line="240" w:lineRule="auto"/>
            </w:pPr>
            <w:r>
              <w:rPr>
                <w:sz w:val="21"/>
              </w:rPr>
              <w:t>Repair: 1</w:t>
            </w:r>
          </w:p>
        </w:tc>
      </w:tr>
      <w:tr>
        <w:trPr>
          <w:cantSplit/>
        </w:trPr>
        <w:tc>
          <w:tcPr>
            <w:tcW w:type="dxa" w:w="2304"/>
            <w:vAlign w:val="center"/>
            <w:shd w:fill="F2F5F6"/>
            <w:tcMar>
              <w:top w:w="95" w:type="dxa"/>
              <w:left w:w="95" w:type="dxa"/>
              <w:bottom w:w="95" w:type="dxa"/>
              <w:right w:w="95" w:type="dxa"/>
            </w:tcMar>
          </w:tcPr>
          <w:p>
            <w:pPr>
              <w:spacing w:after="40" w:line="240" w:lineRule="auto"/>
            </w:pPr>
            <w:r>
              <w:rPr>
                <w:sz w:val="21"/>
              </w:rPr>
              <w:t>Processing_Spec</w:t>
            </w:r>
          </w:p>
        </w:tc>
        <w:tc>
          <w:tcPr>
            <w:tcW w:type="dxa" w:w="6192"/>
            <w:vAlign w:val="center"/>
            <w:shd w:fill="F2F5F6"/>
            <w:tcMar>
              <w:top w:w="95" w:type="dxa"/>
              <w:left w:w="95" w:type="dxa"/>
              <w:bottom w:w="95" w:type="dxa"/>
              <w:right w:w="95" w:type="dxa"/>
            </w:tcMar>
          </w:tcPr>
          <w:p>
            <w:pPr>
              <w:spacing w:after="40" w:line="240" w:lineRule="auto"/>
            </w:pPr>
            <w:r>
              <w:rPr>
                <w:sz w:val="21"/>
              </w:rPr>
              <w:t>Keep branch rows and schema available.</w:t>
            </w:r>
          </w:p>
        </w:tc>
        <w:tc>
          <w:tcPr>
            <w:tcW w:type="dxa" w:w="1728"/>
            <w:vAlign w:val="center"/>
            <w:shd w:fill="F2F5F6"/>
            <w:tcMar>
              <w:top w:w="95" w:type="dxa"/>
              <w:left w:w="95" w:type="dxa"/>
              <w:bottom w:w="95" w:type="dxa"/>
              <w:right w:w="95" w:type="dxa"/>
            </w:tcMar>
          </w:tcPr>
          <w:p>
            <w:pPr>
              <w:spacing w:after="40" w:line="240" w:lineRule="auto"/>
            </w:pPr>
            <w:r>
              <w:rPr>
                <w:sz w:val="21"/>
              </w:rPr>
              <w:t>0</w:t>
            </w:r>
          </w:p>
        </w:tc>
      </w:tr>
      <w:tr>
        <w:trPr>
          <w:cantSplit/>
        </w:trPr>
        <w:tc>
          <w:tcPr>
            <w:tcW w:type="dxa" w:w="2304"/>
            <w:vAlign w:val="center"/>
            <w:shd w:fill="FFFFFF"/>
            <w:tcMar>
              <w:top w:w="95" w:type="dxa"/>
              <w:left w:w="95" w:type="dxa"/>
              <w:bottom w:w="95" w:type="dxa"/>
              <w:right w:w="95" w:type="dxa"/>
            </w:tcMar>
          </w:tcPr>
          <w:p>
            <w:pPr>
              <w:spacing w:after="40" w:line="240" w:lineRule="auto"/>
            </w:pPr>
            <w:r>
              <w:rPr>
                <w:sz w:val="21"/>
              </w:rPr>
              <w:t>Final_Spec</w:t>
            </w:r>
          </w:p>
        </w:tc>
        <w:tc>
          <w:tcPr>
            <w:tcW w:type="dxa" w:w="6192"/>
            <w:vAlign w:val="center"/>
            <w:shd w:fill="FFFFFF"/>
            <w:tcMar>
              <w:top w:w="95" w:type="dxa"/>
              <w:left w:w="95" w:type="dxa"/>
              <w:bottom w:w="95" w:type="dxa"/>
              <w:right w:w="95" w:type="dxa"/>
            </w:tcMar>
          </w:tcPr>
          <w:p>
            <w:pPr>
              <w:spacing w:after="40" w:line="240" w:lineRule="auto"/>
            </w:pPr>
            <w:r>
              <w:rPr>
                <w:sz w:val="21"/>
              </w:rPr>
              <w:t>Build the final calculation plan as JSON.</w:t>
            </w:r>
          </w:p>
        </w:tc>
        <w:tc>
          <w:tcPr>
            <w:tcW w:type="dxa" w:w="1728"/>
            <w:vAlign w:val="center"/>
            <w:shd w:fill="FFFFFF"/>
            <w:tcMar>
              <w:top w:w="95" w:type="dxa"/>
              <w:left w:w="95" w:type="dxa"/>
              <w:bottom w:w="95" w:type="dxa"/>
              <w:right w:w="95" w:type="dxa"/>
            </w:tcMar>
          </w:tcPr>
          <w:p>
            <w:pPr>
              <w:spacing w:after="40" w:line="240" w:lineRule="auto"/>
            </w:pPr>
            <w:r>
              <w:rPr>
                <w:sz w:val="21"/>
              </w:rPr>
              <w:t>1</w:t>
            </w:r>
          </w:p>
        </w:tc>
      </w:tr>
      <w:tr>
        <w:trPr>
          <w:cantSplit/>
        </w:trPr>
        <w:tc>
          <w:tcPr>
            <w:tcW w:type="dxa" w:w="2304"/>
            <w:vAlign w:val="center"/>
            <w:shd w:fill="F2F5F6"/>
            <w:tcMar>
              <w:top w:w="95" w:type="dxa"/>
              <w:left w:w="95" w:type="dxa"/>
              <w:bottom w:w="95" w:type="dxa"/>
              <w:right w:w="95" w:type="dxa"/>
            </w:tcMar>
          </w:tcPr>
          <w:p>
            <w:pPr>
              <w:spacing w:after="40" w:line="240" w:lineRule="auto"/>
            </w:pPr>
            <w:r>
              <w:rPr>
                <w:sz w:val="21"/>
              </w:rPr>
              <w:t>Validate / Explain</w:t>
            </w:r>
          </w:p>
        </w:tc>
        <w:tc>
          <w:tcPr>
            <w:tcW w:type="dxa" w:w="6192"/>
            <w:vAlign w:val="center"/>
            <w:shd w:fill="F2F5F6"/>
            <w:tcMar>
              <w:top w:w="95" w:type="dxa"/>
              <w:left w:w="95" w:type="dxa"/>
              <w:bottom w:w="95" w:type="dxa"/>
              <w:right w:w="95" w:type="dxa"/>
            </w:tcMar>
          </w:tcPr>
          <w:p>
            <w:pPr>
              <w:spacing w:after="40" w:line="240" w:lineRule="auto"/>
            </w:pPr>
            <w:r>
              <w:rPr>
                <w:sz w:val="21"/>
              </w:rPr>
              <w:t>Check and format the executed answer.</w:t>
            </w:r>
          </w:p>
        </w:tc>
        <w:tc>
          <w:tcPr>
            <w:tcW w:type="dxa" w:w="1728"/>
            <w:vAlign w:val="center"/>
            <w:shd w:fill="F2F5F6"/>
            <w:tcMar>
              <w:top w:w="95" w:type="dxa"/>
              <w:left w:w="95" w:type="dxa"/>
              <w:bottom w:w="95" w:type="dxa"/>
              <w:right w:w="95" w:type="dxa"/>
            </w:tcMar>
          </w:tcPr>
          <w:p>
            <w:pPr>
              <w:spacing w:after="40" w:line="240" w:lineRule="auto"/>
            </w:pPr>
            <w:r>
              <w:rPr>
                <w:sz w:val="21"/>
              </w:rPr>
              <w:t>0 by default</w:t>
            </w:r>
          </w:p>
        </w:tc>
      </w:tr>
    </w:tbl>
    <w:p>
      <w:pPr>
        <w:spacing w:after="0"/>
      </w:pPr>
    </w:p>
    <w:p>
      <w:pPr>
        <w:pStyle w:val="Heading2"/>
      </w:pPr>
      <w:r>
        <w:t>Calculation operators inside the final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tblHeader/>
          <w:cantSplit/>
        </w:trPr>
        <w:tc>
          <w:tcPr>
            <w:tcW w:type="dxa" w:w="3816"/>
            <w:vAlign w:val="center"/>
            <w:shd w:fill="37474F"/>
            <w:tcMar>
              <w:top w:w="95" w:type="dxa"/>
              <w:left w:w="95" w:type="dxa"/>
              <w:bottom w:w="95" w:type="dxa"/>
              <w:right w:w="95" w:type="dxa"/>
            </w:tcMar>
          </w:tcPr>
          <w:p>
            <w:pPr>
              <w:spacing w:after="40" w:line="240" w:lineRule="auto"/>
            </w:pPr>
            <w:r>
              <w:rPr>
                <w:b/>
                <w:color w:val="FFFFFF"/>
                <w:sz w:val="21"/>
              </w:rPr>
              <w:t>Operator family</w:t>
            </w:r>
          </w:p>
        </w:tc>
        <w:tc>
          <w:tcPr>
            <w:tcW w:type="dxa" w:w="6408"/>
            <w:vAlign w:val="center"/>
            <w:shd w:fill="37474F"/>
            <w:tcMar>
              <w:top w:w="95" w:type="dxa"/>
              <w:left w:w="95" w:type="dxa"/>
              <w:bottom w:w="95" w:type="dxa"/>
              <w:right w:w="95" w:type="dxa"/>
            </w:tcMar>
          </w:tcPr>
          <w:p>
            <w:pPr>
              <w:spacing w:after="40" w:line="240" w:lineRule="auto"/>
            </w:pPr>
            <w:r>
              <w:rPr>
                <w:b/>
                <w:color w:val="FFFFFF"/>
                <w:sz w:val="21"/>
              </w:rPr>
              <w:t>Meaning</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Integrate</w:t>
            </w:r>
          </w:p>
        </w:tc>
        <w:tc>
          <w:tcPr>
            <w:tcW w:type="dxa" w:w="6408"/>
            <w:vAlign w:val="center"/>
            <w:shd w:fill="FFFFFF"/>
            <w:tcMar>
              <w:top w:w="95" w:type="dxa"/>
              <w:left w:w="95" w:type="dxa"/>
              <w:bottom w:w="95" w:type="dxa"/>
              <w:right w:w="95" w:type="dxa"/>
            </w:tcMar>
          </w:tcPr>
          <w:p>
            <w:pPr>
              <w:spacing w:after="40" w:line="240" w:lineRule="auto"/>
            </w:pPr>
            <w:r>
              <w:rPr>
                <w:sz w:val="21"/>
              </w:rPr>
              <w:t>Join source datasets and check join cardinality.</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Filter_Aggregate</w:t>
            </w:r>
          </w:p>
        </w:tc>
        <w:tc>
          <w:tcPr>
            <w:tcW w:type="dxa" w:w="6408"/>
            <w:vAlign w:val="center"/>
            <w:shd w:fill="F2F5F6"/>
            <w:tcMar>
              <w:top w:w="95" w:type="dxa"/>
              <w:left w:w="95" w:type="dxa"/>
              <w:bottom w:w="95" w:type="dxa"/>
              <w:right w:w="95" w:type="dxa"/>
            </w:tcMar>
          </w:tcPr>
          <w:p>
            <w:pPr>
              <w:spacing w:after="40" w:line="240" w:lineRule="auto"/>
            </w:pPr>
            <w:r>
              <w:rPr>
                <w:sz w:val="21"/>
              </w:rPr>
              <w:t>Filter and aggregate using sum, average, count or distinct count.</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Math_Compute</w:t>
            </w:r>
          </w:p>
        </w:tc>
        <w:tc>
          <w:tcPr>
            <w:tcW w:type="dxa" w:w="6408"/>
            <w:vAlign w:val="center"/>
            <w:shd w:fill="FFFFFF"/>
            <w:tcMar>
              <w:top w:w="95" w:type="dxa"/>
              <w:left w:w="95" w:type="dxa"/>
              <w:bottom w:w="95" w:type="dxa"/>
              <w:right w:w="95" w:type="dxa"/>
            </w:tcMar>
          </w:tcPr>
          <w:p>
            <w:pPr>
              <w:spacing w:after="40" w:line="240" w:lineRule="auto"/>
            </w:pPr>
            <w:r>
              <w:rPr>
                <w:sz w:val="21"/>
              </w:rPr>
              <w:t>Calculate derived values and arithmetic expressions.</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Date_Extract / Bucket</w:t>
            </w:r>
          </w:p>
        </w:tc>
        <w:tc>
          <w:tcPr>
            <w:tcW w:type="dxa" w:w="6408"/>
            <w:vAlign w:val="center"/>
            <w:shd w:fill="F2F5F6"/>
            <w:tcMar>
              <w:top w:w="95" w:type="dxa"/>
              <w:left w:w="95" w:type="dxa"/>
              <w:bottom w:w="95" w:type="dxa"/>
              <w:right w:w="95" w:type="dxa"/>
            </w:tcMar>
          </w:tcPr>
          <w:p>
            <w:pPr>
              <w:spacing w:after="40" w:line="240" w:lineRule="auto"/>
            </w:pPr>
            <w:r>
              <w:rPr>
                <w:sz w:val="21"/>
              </w:rPr>
              <w:t>Extract date parts or assign values to defined buckets.</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Order_By / Distinct</w:t>
            </w:r>
          </w:p>
        </w:tc>
        <w:tc>
          <w:tcPr>
            <w:tcW w:type="dxa" w:w="6408"/>
            <w:vAlign w:val="center"/>
            <w:shd w:fill="FFFFFF"/>
            <w:tcMar>
              <w:top w:w="95" w:type="dxa"/>
              <w:left w:w="95" w:type="dxa"/>
              <w:bottom w:w="95" w:type="dxa"/>
              <w:right w:w="95" w:type="dxa"/>
            </w:tcMar>
          </w:tcPr>
          <w:p>
            <w:pPr>
              <w:spacing w:after="40" w:line="240" w:lineRule="auto"/>
            </w:pPr>
            <w:r>
              <w:rPr>
                <w:sz w:val="21"/>
              </w:rPr>
              <w:t>Sort or limit output; remove duplicates.</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Set_Intersect / Difference / Union</w:t>
            </w:r>
          </w:p>
        </w:tc>
        <w:tc>
          <w:tcPr>
            <w:tcW w:type="dxa" w:w="6408"/>
            <w:vAlign w:val="center"/>
            <w:shd w:fill="F2F5F6"/>
            <w:tcMar>
              <w:top w:w="95" w:type="dxa"/>
              <w:left w:w="95" w:type="dxa"/>
              <w:bottom w:w="95" w:type="dxa"/>
              <w:right w:w="95" w:type="dxa"/>
            </w:tcMar>
          </w:tcPr>
          <w:p>
            <w:pPr>
              <w:spacing w:after="40" w:line="240" w:lineRule="auto"/>
            </w:pPr>
            <w:r>
              <w:rPr>
                <w:sz w:val="21"/>
              </w:rPr>
              <w:t>Combine or compare sets of rows.</w:t>
            </w:r>
          </w:p>
        </w:tc>
      </w:tr>
    </w:tbl>
    <w:p>
      <w:pPr>
        <w:spacing w:after="0"/>
      </w:pPr>
    </w:p>
    <w:p>
      <w:r>
        <w:rPr>
          <w:b w:val="0"/>
        </w:rPr>
        <w:t>These calculation operators make zero model calls in the current compiled data path. Integrate, Filter_Aggregate and Order_By also retain legacy LLM fallbacks outside that path. A successful execution can still be a wrong answer; the separate grader checks correctness.</w:t>
      </w:r>
    </w:p>
    <w:p>
      <w:pPr>
        <w:pStyle w:val="Heading1"/>
        <w:pageBreakBefore/>
        <w:spacing w:before="0"/>
      </w:pPr>
      <w:r>
        <w:t>Self healing and its limits</w:t>
      </w:r>
    </w:p>
    <w:p>
      <w:r>
        <w:drawing>
          <wp:inline xmlns:a="http://schemas.openxmlformats.org/drawingml/2006/main" xmlns:pic="http://schemas.openxmlformats.org/drawingml/2006/picture">
            <wp:extent cx="6492240" cy="2898321"/>
            <wp:docPr id="2" name="Picture 2"/>
            <wp:cNvGraphicFramePr>
              <a:graphicFrameLocks noChangeAspect="1"/>
            </wp:cNvGraphicFramePr>
            <a:graphic>
              <a:graphicData uri="http://schemas.openxmlformats.org/drawingml/2006/picture">
                <pic:pic>
                  <pic:nvPicPr>
                    <pic:cNvPr id="0" name="Query_understanding_recovery.png"/>
                    <pic:cNvPicPr/>
                  </pic:nvPicPr>
                  <pic:blipFill>
                    <a:blip r:embed="rId12"/>
                    <a:stretch>
                      <a:fillRect/>
                    </a:stretch>
                  </pic:blipFill>
                  <pic:spPr>
                    <a:xfrm>
                      <a:off x="0" y="0"/>
                      <a:ext cx="6492240" cy="2898321"/>
                    </a:xfrm>
                    <a:prstGeom prst="rect"/>
                  </pic:spPr>
                </pic:pic>
              </a:graphicData>
            </a:graphic>
          </wp:inline>
        </w:drawing>
      </w:r>
    </w:p>
    <w:p>
      <w:r>
        <w:rPr>
          <w:b w:val="0"/>
        </w:rPr>
        <w:t>Query Understanding stops retrying as soon as a valid contract is available. After three invalid attempts, current code uses the base pipeline with the original question; it does not select an invalid "best"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tblHeader/>
          <w:cantSplit/>
        </w:trPr>
        <w:tc>
          <w:tcPr>
            <w:tcW w:type="dxa" w:w="2520"/>
            <w:vAlign w:val="center"/>
            <w:shd w:fill="37474F"/>
            <w:tcMar>
              <w:top w:w="95" w:type="dxa"/>
              <w:left w:w="95" w:type="dxa"/>
              <w:bottom w:w="95" w:type="dxa"/>
              <w:right w:w="95" w:type="dxa"/>
            </w:tcMar>
          </w:tcPr>
          <w:p>
            <w:pPr>
              <w:spacing w:after="40" w:line="240" w:lineRule="auto"/>
            </w:pPr>
            <w:r>
              <w:rPr>
                <w:b/>
                <w:color w:val="FFFFFF"/>
                <w:sz w:val="21"/>
              </w:rPr>
              <w:t>Stage</w:t>
            </w:r>
          </w:p>
        </w:tc>
        <w:tc>
          <w:tcPr>
            <w:tcW w:type="dxa" w:w="7704"/>
            <w:vAlign w:val="center"/>
            <w:shd w:fill="37474F"/>
            <w:tcMar>
              <w:top w:w="95" w:type="dxa"/>
              <w:left w:w="95" w:type="dxa"/>
              <w:bottom w:w="95" w:type="dxa"/>
              <w:right w:w="95" w:type="dxa"/>
            </w:tcMar>
          </w:tcPr>
          <w:p>
            <w:pPr>
              <w:spacing w:after="40" w:line="240" w:lineRule="auto"/>
            </w:pPr>
            <w:r>
              <w:rPr>
                <w:b/>
                <w:color w:val="FFFFFF"/>
                <w:sz w:val="21"/>
              </w:rPr>
              <w:t>Bound and behavior</w:t>
            </w:r>
          </w:p>
        </w:tc>
      </w:tr>
      <w:tr>
        <w:trPr>
          <w:cantSplit/>
        </w:trPr>
        <w:tc>
          <w:tcPr>
            <w:tcW w:type="dxa" w:w="2520"/>
            <w:vAlign w:val="center"/>
            <w:shd w:fill="FFFFFF"/>
            <w:tcMar>
              <w:top w:w="95" w:type="dxa"/>
              <w:left w:w="95" w:type="dxa"/>
              <w:bottom w:w="95" w:type="dxa"/>
              <w:right w:w="95" w:type="dxa"/>
            </w:tcMar>
          </w:tcPr>
          <w:p>
            <w:pPr>
              <w:spacing w:after="40" w:line="240" w:lineRule="auto"/>
            </w:pPr>
            <w:r>
              <w:rPr>
                <w:sz w:val="21"/>
              </w:rPr>
              <w:t>Domain compilation</w:t>
            </w:r>
          </w:p>
        </w:tc>
        <w:tc>
          <w:tcPr>
            <w:tcW w:type="dxa" w:w="7704"/>
            <w:vAlign w:val="center"/>
            <w:shd w:fill="FFFFFF"/>
            <w:tcMar>
              <w:top w:w="95" w:type="dxa"/>
              <w:left w:w="95" w:type="dxa"/>
              <w:bottom w:w="95" w:type="dxa"/>
              <w:right w:w="95" w:type="dxa"/>
            </w:tcMar>
          </w:tcPr>
          <w:p>
            <w:pPr>
              <w:spacing w:after="40" w:line="240" w:lineRule="auto"/>
            </w:pPr>
            <w:r>
              <w:rPr>
                <w:sz w:val="21"/>
              </w:rPr>
              <w:t>Cache miss: up to 3 validation attempts. If all fail, startup stops.</w:t>
            </w:r>
          </w:p>
        </w:tc>
      </w:tr>
      <w:tr>
        <w:trPr>
          <w:cantSplit/>
        </w:trPr>
        <w:tc>
          <w:tcPr>
            <w:tcW w:type="dxa" w:w="2520"/>
            <w:vAlign w:val="center"/>
            <w:shd w:fill="F2F5F6"/>
            <w:tcMar>
              <w:top w:w="95" w:type="dxa"/>
              <w:left w:w="95" w:type="dxa"/>
              <w:bottom w:w="95" w:type="dxa"/>
              <w:right w:w="95" w:type="dxa"/>
            </w:tcMar>
          </w:tcPr>
          <w:p>
            <w:pPr>
              <w:spacing w:after="40" w:line="240" w:lineRule="auto"/>
            </w:pPr>
            <w:r>
              <w:rPr>
                <w:sz w:val="21"/>
              </w:rPr>
              <w:t>Query_Spec</w:t>
            </w:r>
          </w:p>
        </w:tc>
        <w:tc>
          <w:tcPr>
            <w:tcW w:type="dxa" w:w="7704"/>
            <w:vAlign w:val="center"/>
            <w:shd w:fill="F2F5F6"/>
            <w:tcMar>
              <w:top w:w="95" w:type="dxa"/>
              <w:left w:w="95" w:type="dxa"/>
              <w:bottom w:w="95" w:type="dxa"/>
              <w:right w:w="95" w:type="dxa"/>
            </w:tcMar>
          </w:tcPr>
          <w:p>
            <w:pPr>
              <w:spacing w:after="40" w:line="240" w:lineRule="auto"/>
            </w:pPr>
            <w:r>
              <w:rPr>
                <w:sz w:val="21"/>
              </w:rPr>
              <w:t>Up to 3 attempts per branch in a decomposition pass.</w:t>
            </w:r>
          </w:p>
        </w:tc>
      </w:tr>
      <w:tr>
        <w:trPr>
          <w:cantSplit/>
        </w:trPr>
        <w:tc>
          <w:tcPr>
            <w:tcW w:type="dxa" w:w="2520"/>
            <w:vAlign w:val="center"/>
            <w:shd w:fill="FFFFFF"/>
            <w:tcMar>
              <w:top w:w="95" w:type="dxa"/>
              <w:left w:w="95" w:type="dxa"/>
              <w:bottom w:w="95" w:type="dxa"/>
              <w:right w:w="95" w:type="dxa"/>
            </w:tcMar>
          </w:tcPr>
          <w:p>
            <w:pPr>
              <w:spacing w:after="40" w:line="240" w:lineRule="auto"/>
            </w:pPr>
            <w:r>
              <w:rPr>
                <w:sz w:val="21"/>
              </w:rPr>
              <w:t>Pre-scan and Scan</w:t>
            </w:r>
          </w:p>
        </w:tc>
        <w:tc>
          <w:tcPr>
            <w:tcW w:type="dxa" w:w="7704"/>
            <w:vAlign w:val="center"/>
            <w:shd w:fill="FFFFFF"/>
            <w:tcMar>
              <w:top w:w="95" w:type="dxa"/>
              <w:left w:w="95" w:type="dxa"/>
              <w:bottom w:w="95" w:type="dxa"/>
              <w:right w:w="95" w:type="dxa"/>
            </w:tcMar>
          </w:tcPr>
          <w:p>
            <w:pPr>
              <w:spacing w:after="40" w:line="240" w:lineRule="auto"/>
            </w:pPr>
            <w:r>
              <w:rPr>
                <w:sz w:val="21"/>
              </w:rPr>
              <w:t>Default 3 checks / attempts per loop, with SQL regeneration or Refine when applicable.</w:t>
            </w:r>
          </w:p>
        </w:tc>
      </w:tr>
      <w:tr>
        <w:trPr>
          <w:cantSplit/>
        </w:trPr>
        <w:tc>
          <w:tcPr>
            <w:tcW w:type="dxa" w:w="2520"/>
            <w:vAlign w:val="center"/>
            <w:shd w:fill="F2F5F6"/>
            <w:tcMar>
              <w:top w:w="95" w:type="dxa"/>
              <w:left w:w="95" w:type="dxa"/>
              <w:bottom w:w="95" w:type="dxa"/>
              <w:right w:w="95" w:type="dxa"/>
            </w:tcMar>
          </w:tcPr>
          <w:p>
            <w:pPr>
              <w:spacing w:after="40" w:line="240" w:lineRule="auto"/>
            </w:pPr>
            <w:r>
              <w:rPr>
                <w:sz w:val="21"/>
              </w:rPr>
              <w:t>Final_Spec</w:t>
            </w:r>
          </w:p>
        </w:tc>
        <w:tc>
          <w:tcPr>
            <w:tcW w:type="dxa" w:w="7704"/>
            <w:vAlign w:val="center"/>
            <w:shd w:fill="F2F5F6"/>
            <w:tcMar>
              <w:top w:w="95" w:type="dxa"/>
              <w:left w:w="95" w:type="dxa"/>
              <w:bottom w:w="95" w:type="dxa"/>
              <w:right w:w="95" w:type="dxa"/>
            </w:tcMar>
          </w:tcPr>
          <w:p>
            <w:pPr>
              <w:spacing w:after="40" w:line="240" w:lineRule="auto"/>
            </w:pPr>
            <w:r>
              <w:rPr>
                <w:sz w:val="21"/>
              </w:rPr>
              <w:t>Up to 4 attempts per execution; structured errors guide repair.</w:t>
            </w:r>
          </w:p>
        </w:tc>
      </w:tr>
      <w:tr>
        <w:trPr>
          <w:cantSplit/>
        </w:trPr>
        <w:tc>
          <w:tcPr>
            <w:tcW w:type="dxa" w:w="2520"/>
            <w:vAlign w:val="center"/>
            <w:shd w:fill="FFFFFF"/>
            <w:tcMar>
              <w:top w:w="95" w:type="dxa"/>
              <w:left w:w="95" w:type="dxa"/>
              <w:bottom w:w="95" w:type="dxa"/>
              <w:right w:w="95" w:type="dxa"/>
            </w:tcMar>
          </w:tcPr>
          <w:p>
            <w:pPr>
              <w:spacing w:after="40" w:line="240" w:lineRule="auto"/>
            </w:pPr>
            <w:r>
              <w:rPr>
                <w:sz w:val="21"/>
              </w:rPr>
              <w:t>Decomposition</w:t>
            </w:r>
          </w:p>
        </w:tc>
        <w:tc>
          <w:tcPr>
            <w:tcW w:type="dxa" w:w="7704"/>
            <w:vAlign w:val="center"/>
            <w:shd w:fill="FFFFFF"/>
            <w:tcMar>
              <w:top w:w="95" w:type="dxa"/>
              <w:left w:w="95" w:type="dxa"/>
              <w:bottom w:w="95" w:type="dxa"/>
              <w:right w:w="95" w:type="dxa"/>
            </w:tcMar>
          </w:tcPr>
          <w:p>
            <w:pPr>
              <w:spacing w:after="40" w:line="240" w:lineRule="auto"/>
            </w:pPr>
            <w:r>
              <w:rPr>
                <w:sz w:val="21"/>
              </w:rPr>
              <w:t>Up to 3 passes; missing source data or upstream planning errors can restart branches.</w:t>
            </w:r>
          </w:p>
        </w:tc>
      </w:tr>
    </w:tbl>
    <w:p>
      <w:pPr>
        <w:spacing w:after="0"/>
      </w:pPr>
    </w:p>
    <w:p>
      <w:pPr>
        <w:pStyle w:val="Heading2"/>
      </w:pPr>
      <w:r>
        <w:t>Optional specialist consultation</w:t>
      </w:r>
    </w:p>
    <w:p>
      <w:r>
        <w:rPr>
          <w:b w:val="0"/>
        </w:rPr>
        <w:t>Default off. With --agent-consultation on, Decompose, Query_Spec and Final_Spec may request domain or interpretation advice. The shared budget is 5 specialist requests per question. A domain request uses one model call; a Query Understanding request can use up to three attempts. A changed interpretation restarts retrieval and decomposition within the existing pass budget.</w:t>
      </w:r>
    </w:p>
    <w:p>
      <w:pPr>
        <w:pStyle w:val="Heading2"/>
      </w:pPr>
      <w:r>
        <w:t>Why a question or batch can still stop</w:t>
      </w:r>
    </w:p>
    <w:p>
      <w:r>
        <w:rPr>
          <w:b w:val="0"/>
        </w:rPr>
        <w:t>Retry limits apply to individual loops, not to the entire question. Nested retries can add many calls. Exhausted SQL or calculation repairs produce an error row and the batch normally moves on. An API quota failure can stop the batch; invalid startup knowledge, database health or report-lock problems can prevent it from starting. Transport exceptions are not guaranteed to reach the Query Understanding fallback.</w:t>
      </w:r>
    </w:p>
    <w:p>
      <w:r>
        <w:rPr>
          <w:b/>
        </w:rPr>
        <w:t>Best effort means continuing where a supported fallback exists, not inventing database results or silently discarding required constraints. Valid empty results can be successful. Zero execution errors cannot be guaranteed.</w:t>
      </w:r>
    </w:p>
    <w:p>
      <w:pPr>
        <w:pStyle w:val="Heading1"/>
        <w:pageBreakBefore/>
        <w:spacing w:before="0"/>
      </w:pPr>
      <w:r>
        <w:t>All self healing paths</w:t>
      </w:r>
    </w:p>
    <w:p>
      <w:r>
        <w:rPr>
          <w:b w:val="0"/>
        </w:rPr>
        <w:t>Each row below is a conditional recovery route, not six steps that always run. Failed attempts can add both a repair call and repeated downstream calls. Query Understanding has its own recovery diagram on the preceding page.</w:t>
      </w:r>
    </w:p>
    <w:p>
      <w:r>
        <w:drawing>
          <wp:inline xmlns:a="http://schemas.openxmlformats.org/drawingml/2006/main" xmlns:pic="http://schemas.openxmlformats.org/drawingml/2006/picture">
            <wp:extent cx="6492240" cy="5124232"/>
            <wp:docPr id="3" name="Picture 3"/>
            <wp:cNvGraphicFramePr>
              <a:graphicFrameLocks noChangeAspect="1"/>
            </wp:cNvGraphicFramePr>
            <a:graphic>
              <a:graphicData uri="http://schemas.openxmlformats.org/drawingml/2006/picture">
                <pic:pic>
                  <pic:nvPicPr>
                    <pic:cNvPr id="0" name="All_self_healing_paths.png"/>
                    <pic:cNvPicPr/>
                  </pic:nvPicPr>
                  <pic:blipFill>
                    <a:blip r:embed="rId13"/>
                    <a:stretch>
                      <a:fillRect/>
                    </a:stretch>
                  </pic:blipFill>
                  <pic:spPr>
                    <a:xfrm>
                      <a:off x="0" y="0"/>
                      <a:ext cx="6492240" cy="5124232"/>
                    </a:xfrm>
                    <a:prstGeom prst="rect"/>
                  </pic:spPr>
                </pic:pic>
              </a:graphicData>
            </a:graphic>
          </wp:inline>
        </w:drawing>
      </w:r>
    </w:p>
    <w:p>
      <w:r>
        <w:rPr>
          <w:b w:val="0"/>
        </w:rPr>
        <w:t>Pre-scan and Scan default to 3 checks or attempts per loop. Decomposition has up to 3 passes. These loops can nest, so the whole question is not limited to 3 model calls. Successful checks stop their loop early.</w:t>
      </w:r>
    </w:p>
    <w:p>
      <w:r>
        <w:rPr>
          <w:b/>
        </w:rPr>
        <w:t>Generate always tries render_raw_sql first, including during regeneration. A self-healing event is therefore not automatically a model call. Refine, however, calls the model whenever that repair operator is invoked.</w:t>
      </w:r>
    </w:p>
    <w:p>
      <w:r>
        <w:rPr>
          <w:b w:val="0"/>
        </w:rPr>
        <w:t>When a timeout rewrite is too similar to the failed SQL, the executor calls Generate as well. If an unknown-field Query_Spec repair is invalid, it can fall through to Refine. Missing SQL triggers Generate, pre-scan checks and another Scan.</w:t>
      </w:r>
    </w:p>
    <w:p>
      <w:r>
        <w:rPr>
          <w:b w:val="0"/>
        </w:rPr>
        <w:t>Consultation can add the requesting operator call, the specialist call(s), and another operator call. A revised interpretation instead restarts Retrieve and Decompose. The 5-request budget is not a 5-model-call budget.</w:t>
      </w:r>
    </w:p>
    <w:p>
      <w:pPr>
        <w:pStyle w:val="Heading1"/>
        <w:pageBreakBefore/>
        <w:spacing w:before="0"/>
      </w:pPr>
      <w:r>
        <w:t>Complete model call inventory</w:t>
      </w:r>
    </w:p>
    <w:p>
      <w:r>
        <w:rPr>
          <w:b w:val="0"/>
        </w:rPr>
        <w:t>A model-call site is not the same as an operator invocation. This inventory separates normal calls, conditional calls and compatibility code not used by the current compiled execution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cantSplit/>
        </w:trPr>
        <w:tc>
          <w:tcPr>
            <w:tcW w:type="dxa" w:w="2592"/>
            <w:vAlign w:val="center"/>
            <w:shd w:fill="37474F"/>
            <w:tcMar>
              <w:top w:w="95" w:type="dxa"/>
              <w:left w:w="95" w:type="dxa"/>
              <w:bottom w:w="95" w:type="dxa"/>
              <w:right w:w="95" w:type="dxa"/>
            </w:tcMar>
          </w:tcPr>
          <w:p>
            <w:pPr>
              <w:spacing w:after="40" w:line="240" w:lineRule="auto"/>
            </w:pPr>
            <w:r>
              <w:rPr>
                <w:b/>
                <w:color w:val="FFFFFF"/>
                <w:sz w:val="21"/>
              </w:rPr>
              <w:t>Call site</w:t>
            </w:r>
          </w:p>
        </w:tc>
        <w:tc>
          <w:tcPr>
            <w:tcW w:type="dxa" w:w="7632"/>
            <w:vAlign w:val="center"/>
            <w:shd w:fill="37474F"/>
            <w:tcMar>
              <w:top w:w="95" w:type="dxa"/>
              <w:left w:w="95" w:type="dxa"/>
              <w:bottom w:w="95" w:type="dxa"/>
              <w:right w:w="95" w:type="dxa"/>
            </w:tcMar>
          </w:tcPr>
          <w:p>
            <w:pPr>
              <w:spacing w:after="40" w:line="240" w:lineRule="auto"/>
            </w:pPr>
            <w:r>
              <w:rPr>
                <w:b/>
                <w:color w:val="FFFFFF"/>
                <w:sz w:val="21"/>
              </w:rPr>
              <w:t>When the model is called</w:t>
            </w:r>
          </w:p>
        </w:tc>
      </w:tr>
      <w:tr>
        <w:trPr>
          <w:cantSplit/>
        </w:trPr>
        <w:tc>
          <w:tcPr>
            <w:tcW w:type="dxa" w:w="2592"/>
            <w:vAlign w:val="center"/>
            <w:shd w:fill="FFFFFF"/>
            <w:tcMar>
              <w:top w:w="95" w:type="dxa"/>
              <w:left w:w="95" w:type="dxa"/>
              <w:bottom w:w="95" w:type="dxa"/>
              <w:right w:w="95" w:type="dxa"/>
            </w:tcMar>
          </w:tcPr>
          <w:p>
            <w:pPr>
              <w:spacing w:after="40" w:line="240" w:lineRule="auto"/>
            </w:pPr>
            <w:r>
              <w:rPr>
                <w:sz w:val="21"/>
              </w:rPr>
              <w:t>Domain compilation</w:t>
            </w:r>
          </w:p>
        </w:tc>
        <w:tc>
          <w:tcPr>
            <w:tcW w:type="dxa" w:w="7632"/>
            <w:vAlign w:val="center"/>
            <w:shd w:fill="FFFFFF"/>
            <w:tcMar>
              <w:top w:w="95" w:type="dxa"/>
              <w:left w:w="95" w:type="dxa"/>
              <w:bottom w:w="95" w:type="dxa"/>
              <w:right w:w="95" w:type="dxa"/>
            </w:tcMar>
          </w:tcPr>
          <w:p>
            <w:pPr>
              <w:spacing w:after="40" w:line="240" w:lineRule="auto"/>
            </w:pPr>
            <w:r>
              <w:rPr>
                <w:sz w:val="21"/>
              </w:rPr>
              <w:t>Cache miss: 1 call per attempt, up to 3. Cache hit: 0.</w:t>
            </w:r>
          </w:p>
        </w:tc>
      </w:tr>
      <w:tr>
        <w:trPr>
          <w:cantSplit/>
        </w:trPr>
        <w:tc>
          <w:tcPr>
            <w:tcW w:type="dxa" w:w="2592"/>
            <w:vAlign w:val="center"/>
            <w:shd w:fill="F2F5F6"/>
            <w:tcMar>
              <w:top w:w="95" w:type="dxa"/>
              <w:left w:w="95" w:type="dxa"/>
              <w:bottom w:w="95" w:type="dxa"/>
              <w:right w:w="95" w:type="dxa"/>
            </w:tcMar>
          </w:tcPr>
          <w:p>
            <w:pPr>
              <w:spacing w:after="40" w:line="240" w:lineRule="auto"/>
            </w:pPr>
            <w:r>
              <w:rPr>
                <w:sz w:val="21"/>
              </w:rPr>
              <w:t>Query Understanding</w:t>
            </w:r>
          </w:p>
        </w:tc>
        <w:tc>
          <w:tcPr>
            <w:tcW w:type="dxa" w:w="7632"/>
            <w:vAlign w:val="center"/>
            <w:shd w:fill="F2F5F6"/>
            <w:tcMar>
              <w:top w:w="95" w:type="dxa"/>
              <w:left w:w="95" w:type="dxa"/>
              <w:bottom w:w="95" w:type="dxa"/>
              <w:right w:w="95" w:type="dxa"/>
            </w:tcMar>
          </w:tcPr>
          <w:p>
            <w:pPr>
              <w:spacing w:after="40" w:line="240" w:lineRule="auto"/>
            </w:pPr>
            <w:r>
              <w:rPr>
                <w:sz w:val="21"/>
              </w:rPr>
              <w:t>1 call per attempt, up to 3 per invocation. Consultation can invoke it again.</w:t>
            </w:r>
          </w:p>
        </w:tc>
      </w:tr>
      <w:tr>
        <w:trPr>
          <w:cantSplit/>
        </w:trPr>
        <w:tc>
          <w:tcPr>
            <w:tcW w:type="dxa" w:w="2592"/>
            <w:vAlign w:val="center"/>
            <w:shd w:fill="FFFFFF"/>
            <w:tcMar>
              <w:top w:w="95" w:type="dxa"/>
              <w:left w:w="95" w:type="dxa"/>
              <w:bottom w:w="95" w:type="dxa"/>
              <w:right w:w="95" w:type="dxa"/>
            </w:tcMar>
          </w:tcPr>
          <w:p>
            <w:pPr>
              <w:spacing w:after="40" w:line="240" w:lineRule="auto"/>
            </w:pPr>
            <w:r>
              <w:rPr>
                <w:sz w:val="21"/>
              </w:rPr>
              <w:t>Retrieve</w:t>
            </w:r>
          </w:p>
        </w:tc>
        <w:tc>
          <w:tcPr>
            <w:tcW w:type="dxa" w:w="7632"/>
            <w:vAlign w:val="center"/>
            <w:shd w:fill="FFFFFF"/>
            <w:tcMar>
              <w:top w:w="95" w:type="dxa"/>
              <w:left w:w="95" w:type="dxa"/>
              <w:bottom w:w="95" w:type="dxa"/>
              <w:right w:w="95" w:type="dxa"/>
            </w:tcMar>
          </w:tcPr>
          <w:p>
            <w:pPr>
              <w:spacing w:after="40" w:line="240" w:lineRule="auto"/>
            </w:pPr>
            <w:r>
              <w:rPr>
                <w:sz w:val="21"/>
              </w:rPr>
              <w:t>1 per invocation; called again when specialist advice changes interpretation.</w:t>
            </w:r>
          </w:p>
        </w:tc>
      </w:tr>
      <w:tr>
        <w:trPr>
          <w:cantSplit/>
        </w:trPr>
        <w:tc>
          <w:tcPr>
            <w:tcW w:type="dxa" w:w="2592"/>
            <w:vAlign w:val="center"/>
            <w:shd w:fill="F2F5F6"/>
            <w:tcMar>
              <w:top w:w="95" w:type="dxa"/>
              <w:left w:w="95" w:type="dxa"/>
              <w:bottom w:w="95" w:type="dxa"/>
              <w:right w:w="95" w:type="dxa"/>
            </w:tcMar>
          </w:tcPr>
          <w:p>
            <w:pPr>
              <w:spacing w:after="40" w:line="240" w:lineRule="auto"/>
            </w:pPr>
            <w:r>
              <w:rPr>
                <w:sz w:val="21"/>
              </w:rPr>
              <w:t>Decompose</w:t>
            </w:r>
          </w:p>
        </w:tc>
        <w:tc>
          <w:tcPr>
            <w:tcW w:type="dxa" w:w="7632"/>
            <w:vAlign w:val="center"/>
            <w:shd w:fill="F2F5F6"/>
            <w:tcMar>
              <w:top w:w="95" w:type="dxa"/>
              <w:left w:w="95" w:type="dxa"/>
              <w:bottom w:w="95" w:type="dxa"/>
              <w:right w:w="95" w:type="dxa"/>
            </w:tcMar>
          </w:tcPr>
          <w:p>
            <w:pPr>
              <w:spacing w:after="40" w:line="240" w:lineRule="auto"/>
            </w:pPr>
            <w:r>
              <w:rPr>
                <w:sz w:val="21"/>
              </w:rPr>
              <w:t>1 per invocation; outer repair passes and consultation can repeat it.</w:t>
            </w:r>
          </w:p>
        </w:tc>
      </w:tr>
      <w:tr>
        <w:trPr>
          <w:cantSplit/>
        </w:trPr>
        <w:tc>
          <w:tcPr>
            <w:tcW w:type="dxa" w:w="2592"/>
            <w:vAlign w:val="center"/>
            <w:shd w:fill="FFFFFF"/>
            <w:tcMar>
              <w:top w:w="95" w:type="dxa"/>
              <w:left w:w="95" w:type="dxa"/>
              <w:bottom w:w="95" w:type="dxa"/>
              <w:right w:w="95" w:type="dxa"/>
            </w:tcMar>
          </w:tcPr>
          <w:p>
            <w:pPr>
              <w:spacing w:after="40" w:line="240" w:lineRule="auto"/>
            </w:pPr>
            <w:r>
              <w:rPr>
                <w:sz w:val="21"/>
              </w:rPr>
              <w:t>Query_Spec</w:t>
            </w:r>
          </w:p>
        </w:tc>
        <w:tc>
          <w:tcPr>
            <w:tcW w:type="dxa" w:w="7632"/>
            <w:vAlign w:val="center"/>
            <w:shd w:fill="FFFFFF"/>
            <w:tcMar>
              <w:top w:w="95" w:type="dxa"/>
              <w:left w:w="95" w:type="dxa"/>
              <w:bottom w:w="95" w:type="dxa"/>
              <w:right w:w="95" w:type="dxa"/>
            </w:tcMar>
          </w:tcPr>
          <w:p>
            <w:pPr>
              <w:spacing w:after="40" w:line="240" w:lineRule="auto"/>
            </w:pPr>
            <w:r>
              <w:rPr>
                <w:sz w:val="21"/>
              </w:rPr>
              <w:t>1 per invocation. Up to 3 branch validation attempts, plus scan repairs, restarts and consultation.</w:t>
            </w:r>
          </w:p>
        </w:tc>
      </w:tr>
      <w:tr>
        <w:trPr>
          <w:cantSplit/>
        </w:trPr>
        <w:tc>
          <w:tcPr>
            <w:tcW w:type="dxa" w:w="2592"/>
            <w:vAlign w:val="center"/>
            <w:shd w:fill="F2F5F6"/>
            <w:tcMar>
              <w:top w:w="95" w:type="dxa"/>
              <w:left w:w="95" w:type="dxa"/>
              <w:bottom w:w="95" w:type="dxa"/>
              <w:right w:w="95" w:type="dxa"/>
            </w:tcMar>
          </w:tcPr>
          <w:p>
            <w:pPr>
              <w:spacing w:after="40" w:line="240" w:lineRule="auto"/>
            </w:pPr>
            <w:r>
              <w:rPr>
                <w:sz w:val="21"/>
              </w:rPr>
              <w:t>Generate</w:t>
            </w:r>
          </w:p>
        </w:tc>
        <w:tc>
          <w:tcPr>
            <w:tcW w:type="dxa" w:w="7632"/>
            <w:vAlign w:val="center"/>
            <w:shd w:fill="F2F5F6"/>
            <w:tcMar>
              <w:top w:w="95" w:type="dxa"/>
              <w:left w:w="95" w:type="dxa"/>
              <w:bottom w:w="95" w:type="dxa"/>
              <w:right w:w="95" w:type="dxa"/>
            </w:tcMar>
          </w:tcPr>
          <w:p>
            <w:pPr>
              <w:spacing w:after="40" w:line="240" w:lineRule="auto"/>
            </w:pPr>
            <w:r>
              <w:rPr>
                <w:sz w:val="21"/>
              </w:rPr>
              <w:t>0 if render_raw_sql succeeds; otherwise 1. The same condition applies on regeneration.</w:t>
            </w:r>
          </w:p>
        </w:tc>
      </w:tr>
      <w:tr>
        <w:trPr>
          <w:cantSplit/>
        </w:trPr>
        <w:tc>
          <w:tcPr>
            <w:tcW w:type="dxa" w:w="2592"/>
            <w:vAlign w:val="center"/>
            <w:shd w:fill="FFFFFF"/>
            <w:tcMar>
              <w:top w:w="95" w:type="dxa"/>
              <w:left w:w="95" w:type="dxa"/>
              <w:bottom w:w="95" w:type="dxa"/>
              <w:right w:w="95" w:type="dxa"/>
            </w:tcMar>
          </w:tcPr>
          <w:p>
            <w:pPr>
              <w:spacing w:after="40" w:line="240" w:lineRule="auto"/>
            </w:pPr>
            <w:r>
              <w:rPr>
                <w:sz w:val="21"/>
              </w:rPr>
              <w:t>Refine</w:t>
            </w:r>
          </w:p>
        </w:tc>
        <w:tc>
          <w:tcPr>
            <w:tcW w:type="dxa" w:w="7632"/>
            <w:vAlign w:val="center"/>
            <w:shd w:fill="FFFFFF"/>
            <w:tcMar>
              <w:top w:w="95" w:type="dxa"/>
              <w:left w:w="95" w:type="dxa"/>
              <w:bottom w:w="95" w:type="dxa"/>
              <w:right w:w="95" w:type="dxa"/>
            </w:tcMar>
          </w:tcPr>
          <w:p>
            <w:pPr>
              <w:spacing w:after="40" w:line="240" w:lineRule="auto"/>
            </w:pPr>
            <w:r>
              <w:rPr>
                <w:sz w:val="21"/>
              </w:rPr>
              <w:t>1 each time the SQL repair operator is called.</w:t>
            </w:r>
          </w:p>
        </w:tc>
      </w:tr>
      <w:tr>
        <w:trPr>
          <w:cantSplit/>
        </w:trPr>
        <w:tc>
          <w:tcPr>
            <w:tcW w:type="dxa" w:w="2592"/>
            <w:vAlign w:val="center"/>
            <w:shd w:fill="F2F5F6"/>
            <w:tcMar>
              <w:top w:w="95" w:type="dxa"/>
              <w:left w:w="95" w:type="dxa"/>
              <w:bottom w:w="95" w:type="dxa"/>
              <w:right w:w="95" w:type="dxa"/>
            </w:tcMar>
          </w:tcPr>
          <w:p>
            <w:pPr>
              <w:spacing w:after="40" w:line="240" w:lineRule="auto"/>
            </w:pPr>
            <w:r>
              <w:rPr>
                <w:sz w:val="21"/>
              </w:rPr>
              <w:t>Final_Spec</w:t>
            </w:r>
          </w:p>
        </w:tc>
        <w:tc>
          <w:tcPr>
            <w:tcW w:type="dxa" w:w="7632"/>
            <w:vAlign w:val="center"/>
            <w:shd w:fill="F2F5F6"/>
            <w:tcMar>
              <w:top w:w="95" w:type="dxa"/>
              <w:left w:w="95" w:type="dxa"/>
              <w:bottom w:w="95" w:type="dxa"/>
              <w:right w:w="95" w:type="dxa"/>
            </w:tcMar>
          </w:tcPr>
          <w:p>
            <w:pPr>
              <w:spacing w:after="40" w:line="240" w:lineRule="auto"/>
            </w:pPr>
            <w:r>
              <w:rPr>
                <w:sz w:val="21"/>
              </w:rPr>
              <w:t>1 per invocation. Up to 4 plan attempts per execution, plus restarts and consultation.</w:t>
            </w:r>
          </w:p>
        </w:tc>
      </w:tr>
      <w:tr>
        <w:trPr>
          <w:cantSplit/>
        </w:trPr>
        <w:tc>
          <w:tcPr>
            <w:tcW w:type="dxa" w:w="2592"/>
            <w:vAlign w:val="center"/>
            <w:shd w:fill="FFFFFF"/>
            <w:tcMar>
              <w:top w:w="95" w:type="dxa"/>
              <w:left w:w="95" w:type="dxa"/>
              <w:bottom w:w="95" w:type="dxa"/>
              <w:right w:w="95" w:type="dxa"/>
            </w:tcMar>
          </w:tcPr>
          <w:p>
            <w:pPr>
              <w:spacing w:after="40" w:line="240" w:lineRule="auto"/>
            </w:pPr>
            <w:r>
              <w:rPr>
                <w:sz w:val="21"/>
              </w:rPr>
              <w:t>Domain consultation</w:t>
            </w:r>
          </w:p>
        </w:tc>
        <w:tc>
          <w:tcPr>
            <w:tcW w:type="dxa" w:w="7632"/>
            <w:vAlign w:val="center"/>
            <w:shd w:fill="FFFFFF"/>
            <w:tcMar>
              <w:top w:w="95" w:type="dxa"/>
              <w:left w:w="95" w:type="dxa"/>
              <w:bottom w:w="95" w:type="dxa"/>
              <w:right w:w="95" w:type="dxa"/>
            </w:tcMar>
          </w:tcPr>
          <w:p>
            <w:pPr>
              <w:spacing w:after="40" w:line="240" w:lineRule="auto"/>
            </w:pPr>
            <w:r>
              <w:rPr>
                <w:sz w:val="21"/>
              </w:rPr>
              <w:t>1 per specialist request when consultation is enabled.</w:t>
            </w:r>
          </w:p>
        </w:tc>
      </w:tr>
      <w:tr>
        <w:trPr>
          <w:cantSplit/>
        </w:trPr>
        <w:tc>
          <w:tcPr>
            <w:tcW w:type="dxa" w:w="2592"/>
            <w:vAlign w:val="center"/>
            <w:shd w:fill="F2F5F6"/>
            <w:tcMar>
              <w:top w:w="95" w:type="dxa"/>
              <w:left w:w="95" w:type="dxa"/>
              <w:bottom w:w="95" w:type="dxa"/>
              <w:right w:w="95" w:type="dxa"/>
            </w:tcMar>
          </w:tcPr>
          <w:p>
            <w:pPr>
              <w:spacing w:after="40" w:line="240" w:lineRule="auto"/>
            </w:pPr>
            <w:r>
              <w:rPr>
                <w:sz w:val="21"/>
              </w:rPr>
              <w:t>Validate</w:t>
            </w:r>
          </w:p>
        </w:tc>
        <w:tc>
          <w:tcPr>
            <w:tcW w:type="dxa" w:w="7632"/>
            <w:vAlign w:val="center"/>
            <w:shd w:fill="F2F5F6"/>
            <w:tcMar>
              <w:top w:w="95" w:type="dxa"/>
              <w:left w:w="95" w:type="dxa"/>
              <w:bottom w:w="95" w:type="dxa"/>
              <w:right w:w="95" w:type="dxa"/>
            </w:tcMar>
          </w:tcPr>
          <w:p>
            <w:pPr>
              <w:spacing w:after="40" w:line="240" w:lineRule="auto"/>
            </w:pPr>
            <w:r>
              <w:rPr>
                <w:sz w:val="21"/>
              </w:rPr>
              <w:t>1 if semantic review is enabled and local execution checks pass; otherwise 0.</w:t>
            </w:r>
          </w:p>
        </w:tc>
      </w:tr>
      <w:tr>
        <w:trPr>
          <w:cantSplit/>
        </w:trPr>
        <w:tc>
          <w:tcPr>
            <w:tcW w:type="dxa" w:w="2592"/>
            <w:vAlign w:val="center"/>
            <w:shd w:fill="FFFFFF"/>
            <w:tcMar>
              <w:top w:w="95" w:type="dxa"/>
              <w:left w:w="95" w:type="dxa"/>
              <w:bottom w:w="95" w:type="dxa"/>
              <w:right w:w="95" w:type="dxa"/>
            </w:tcMar>
          </w:tcPr>
          <w:p>
            <w:pPr>
              <w:spacing w:after="40" w:line="240" w:lineRule="auto"/>
            </w:pPr>
            <w:r>
              <w:rPr>
                <w:sz w:val="21"/>
              </w:rPr>
              <w:t>Explain</w:t>
            </w:r>
          </w:p>
        </w:tc>
        <w:tc>
          <w:tcPr>
            <w:tcW w:type="dxa" w:w="7632"/>
            <w:vAlign w:val="center"/>
            <w:shd w:fill="FFFFFF"/>
            <w:tcMar>
              <w:top w:w="95" w:type="dxa"/>
              <w:left w:w="95" w:type="dxa"/>
              <w:bottom w:w="95" w:type="dxa"/>
              <w:right w:w="95" w:type="dxa"/>
            </w:tcMar>
          </w:tcPr>
          <w:p>
            <w:pPr>
              <w:spacing w:after="40" w:line="240" w:lineRule="auto"/>
            </w:pPr>
            <w:r>
              <w:rPr>
                <w:sz w:val="21"/>
              </w:rPr>
              <w:t>1 when neither the empty/context bypass nor structured JSON path applies.</w:t>
            </w:r>
          </w:p>
        </w:tc>
      </w:tr>
      <w:tr>
        <w:trPr>
          <w:cantSplit/>
        </w:trPr>
        <w:tc>
          <w:tcPr>
            <w:tcW w:type="dxa" w:w="2592"/>
            <w:vAlign w:val="center"/>
            <w:shd w:fill="F2F5F6"/>
            <w:tcMar>
              <w:top w:w="95" w:type="dxa"/>
              <w:left w:w="95" w:type="dxa"/>
              <w:bottom w:w="95" w:type="dxa"/>
              <w:right w:w="95" w:type="dxa"/>
            </w:tcMar>
          </w:tcPr>
          <w:p>
            <w:pPr>
              <w:spacing w:after="40" w:line="240" w:lineRule="auto"/>
            </w:pPr>
            <w:r>
              <w:rPr>
                <w:sz w:val="21"/>
              </w:rPr>
              <w:t>Legacy calculation fallbacks</w:t>
            </w:r>
          </w:p>
        </w:tc>
        <w:tc>
          <w:tcPr>
            <w:tcW w:type="dxa" w:w="7632"/>
            <w:vAlign w:val="center"/>
            <w:shd w:fill="F2F5F6"/>
            <w:tcMar>
              <w:top w:w="95" w:type="dxa"/>
              <w:left w:w="95" w:type="dxa"/>
              <w:bottom w:w="95" w:type="dxa"/>
              <w:right w:w="95" w:type="dxa"/>
            </w:tcMar>
          </w:tcPr>
          <w:p>
            <w:pPr>
              <w:spacing w:after="40" w:line="240" w:lineRule="auto"/>
            </w:pPr>
            <w:r>
              <w:rPr>
                <w:sz w:val="21"/>
              </w:rPr>
              <w:t>Integrate, Filter_Aggregate and Order_By contain model fallbacks; current compiled data execution bypasses them.</w:t>
            </w:r>
          </w:p>
        </w:tc>
      </w:tr>
    </w:tbl>
    <w:p>
      <w:pPr>
        <w:spacing w:after="0"/>
      </w:pPr>
    </w:p>
    <w:p>
      <w:r>
        <w:rPr>
          <w:b w:val="0"/>
        </w:rPr>
        <w:t>Current compiled execution supplies strict_spec=True and actual datasets. Integrate returns via local relational code; Filter_Aggregate and Order_By use their data branches. Their model fallbacks are real source-code sites, but are not additional calls in this workflow.</w:t>
      </w:r>
    </w:p>
    <w:p>
      <w:r>
        <w:rPr>
          <w:b w:val="0"/>
        </w:rPr>
        <w:t>performance.py wraps and records SDK calls; it is not an extra independent reasoning step. SDK-internal transport retries may make more network attempts than the recorded invocation count. Grading runs separately and adds its own calls.</w:t>
      </w:r>
    </w:p>
    <w:p>
      <w:r>
        <w:rPr>
          <w:b w:val="0"/>
        </w:rPr>
        <w:t>Source audit: llm_operators/*.py; knowledge.py; query_understanding.py; consultation.py; executor.py; execution.py; main.py; performance.py. The first-page counts describe a successful forward pass, not the full repair budget.</w:t>
      </w:r>
    </w:p>
    <w:p>
      <w:pPr>
        <w:pStyle w:val="Heading1"/>
        <w:pageBreakBefore/>
        <w:spacing w:before="0"/>
      </w:pPr>
      <w:r>
        <w:t>Model calls and measured averages</w:t>
      </w:r>
    </w:p>
    <w:p>
      <w:pPr>
        <w:pStyle w:val="Heading2"/>
      </w:pPr>
      <w:r>
        <w:t>Normal path formula</w:t>
      </w:r>
    </w:p>
    <w:p>
      <w:r>
        <w:rPr>
          <w:b w:val="0"/>
        </w:rPr>
        <w:t>With Query Understanding on, cached domain knowledge, local SQL rendering, consultation off, and default validation and explanation:</w:t>
      </w:r>
    </w:p>
    <w:p>
      <w:r>
        <w:rPr>
          <w:b/>
        </w:rPr>
        <w:t>Calls per question = 1 Query Understanding + 1 Retrieve + 1 Decompose + B Query_Spec + 1 Final_Spec = B + 4</w:t>
      </w:r>
    </w:p>
    <w:p>
      <w:r>
        <w:rPr>
          <w:b w:val="0"/>
        </w:rPr>
        <w:t>B is the number of source branches, not necessarily the number of unique tables. One branch needs 5 calls; two need 6; four need 8. These are normal-path counts, not hard caps.</w:t>
      </w:r>
    </w:p>
    <w:p>
      <w:r>
        <w:rPr>
          <w:b w:val="0"/>
        </w:rPr>
        <w:t>Add calls for failed attempts, live consultation, model SQL fallback, optional semantic review or model explanation. A successful cold-cache domain compilation usually adds one shared startup call; it can try up to three times. Turning Query Understanding off removes its normal one call.</w:t>
      </w:r>
    </w:p>
    <w:p>
      <w:pPr>
        <w:pStyle w:val="Heading2"/>
      </w:pPr>
      <w:r>
        <w:t>Original eight full runs</w:t>
      </w:r>
    </w:p>
    <w:p>
      <w:r>
        <w:rPr>
          <w:b w:val="0"/>
        </w:rPr>
        <w:t>Measured from the eight completed timing logs started at 13:46 on 3 October 2026. Every row includes 125 original question attempts, including failed questions. Later reruns and grading are excluded. These are historical measurements, not a new run of the current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224"/>
        <w:gridCol w:w="1152"/>
        <w:gridCol w:w="1368"/>
        <w:gridCol w:w="2664"/>
      </w:tblGrid>
      <w:tr>
        <w:trPr>
          <w:tblHeader/>
          <w:cantSplit/>
        </w:trPr>
        <w:tc>
          <w:tcPr>
            <w:tcW w:type="dxa" w:w="3816"/>
            <w:vAlign w:val="center"/>
            <w:shd w:fill="37474F"/>
            <w:tcMar>
              <w:top w:w="95" w:type="dxa"/>
              <w:left w:w="95" w:type="dxa"/>
              <w:bottom w:w="95" w:type="dxa"/>
              <w:right w:w="95" w:type="dxa"/>
            </w:tcMar>
          </w:tcPr>
          <w:p>
            <w:pPr>
              <w:spacing w:after="40" w:line="240" w:lineRule="auto"/>
            </w:pPr>
            <w:r>
              <w:rPr>
                <w:b/>
                <w:color w:val="FFFFFF"/>
                <w:sz w:val="21"/>
              </w:rPr>
              <w:t>Question type</w:t>
            </w:r>
          </w:p>
        </w:tc>
        <w:tc>
          <w:tcPr>
            <w:tcW w:type="dxa" w:w="1224"/>
            <w:vAlign w:val="center"/>
            <w:shd w:fill="37474F"/>
            <w:tcMar>
              <w:top w:w="95" w:type="dxa"/>
              <w:left w:w="95" w:type="dxa"/>
              <w:bottom w:w="95" w:type="dxa"/>
              <w:right w:w="95" w:type="dxa"/>
            </w:tcMar>
          </w:tcPr>
          <w:p>
            <w:pPr>
              <w:spacing w:after="40" w:line="240" w:lineRule="auto"/>
              <w:jc w:val="center"/>
            </w:pPr>
            <w:r>
              <w:rPr>
                <w:b/>
                <w:color w:val="FFFFFF"/>
                <w:sz w:val="21"/>
              </w:rPr>
              <w:t>Questions</w:t>
            </w:r>
          </w:p>
        </w:tc>
        <w:tc>
          <w:tcPr>
            <w:tcW w:type="dxa" w:w="1152"/>
            <w:vAlign w:val="center"/>
            <w:shd w:fill="37474F"/>
            <w:tcMar>
              <w:top w:w="95" w:type="dxa"/>
              <w:left w:w="95" w:type="dxa"/>
              <w:bottom w:w="95" w:type="dxa"/>
              <w:right w:w="95" w:type="dxa"/>
            </w:tcMar>
          </w:tcPr>
          <w:p>
            <w:pPr>
              <w:spacing w:after="40" w:line="240" w:lineRule="auto"/>
              <w:jc w:val="center"/>
            </w:pPr>
            <w:r>
              <w:rPr>
                <w:b/>
                <w:color w:val="FFFFFF"/>
                <w:sz w:val="21"/>
              </w:rPr>
              <w:t>Calls</w:t>
            </w:r>
          </w:p>
        </w:tc>
        <w:tc>
          <w:tcPr>
            <w:tcW w:type="dxa" w:w="1368"/>
            <w:vAlign w:val="center"/>
            <w:shd w:fill="37474F"/>
            <w:tcMar>
              <w:top w:w="95" w:type="dxa"/>
              <w:left w:w="95" w:type="dxa"/>
              <w:bottom w:w="95" w:type="dxa"/>
              <w:right w:w="95" w:type="dxa"/>
            </w:tcMar>
          </w:tcPr>
          <w:p>
            <w:pPr>
              <w:spacing w:after="40" w:line="240" w:lineRule="auto"/>
              <w:jc w:val="center"/>
            </w:pPr>
            <w:r>
              <w:rPr>
                <w:b/>
                <w:color w:val="FFFFFF"/>
                <w:sz w:val="21"/>
              </w:rPr>
              <w:t>Calls / question</w:t>
            </w:r>
          </w:p>
        </w:tc>
        <w:tc>
          <w:tcPr>
            <w:tcW w:type="dxa" w:w="2664"/>
            <w:vAlign w:val="center"/>
            <w:shd w:fill="37474F"/>
            <w:tcMar>
              <w:top w:w="95" w:type="dxa"/>
              <w:left w:w="95" w:type="dxa"/>
              <w:bottom w:w="95" w:type="dxa"/>
              <w:right w:w="95" w:type="dxa"/>
            </w:tcMar>
          </w:tcPr>
          <w:p>
            <w:pPr>
              <w:spacing w:after="40" w:line="240" w:lineRule="auto"/>
            </w:pPr>
            <w:r>
              <w:rPr>
                <w:b/>
                <w:color w:val="FFFFFF"/>
                <w:sz w:val="21"/>
              </w:rPr>
              <w:t>Seconds / question</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benchmark</w:t>
            </w:r>
          </w:p>
        </w:tc>
        <w:tc>
          <w:tcPr>
            <w:tcW w:type="dxa" w:w="1224"/>
            <w:vAlign w:val="center"/>
            <w:shd w:fill="FFFFFF"/>
            <w:tcMar>
              <w:top w:w="95" w:type="dxa"/>
              <w:left w:w="95" w:type="dxa"/>
              <w:bottom w:w="95" w:type="dxa"/>
              <w:right w:w="95" w:type="dxa"/>
            </w:tcMar>
          </w:tcPr>
          <w:p>
            <w:pPr>
              <w:spacing w:after="40" w:line="240" w:lineRule="auto"/>
              <w:jc w:val="center"/>
            </w:pPr>
            <w:r>
              <w:rPr>
                <w:sz w:val="21"/>
              </w:rPr>
              <w:t>125</w:t>
            </w:r>
          </w:p>
        </w:tc>
        <w:tc>
          <w:tcPr>
            <w:tcW w:type="dxa" w:w="1152"/>
            <w:vAlign w:val="center"/>
            <w:shd w:fill="FFFFFF"/>
            <w:tcMar>
              <w:top w:w="95" w:type="dxa"/>
              <w:left w:w="95" w:type="dxa"/>
              <w:bottom w:w="95" w:type="dxa"/>
              <w:right w:w="95" w:type="dxa"/>
            </w:tcMar>
          </w:tcPr>
          <w:p>
            <w:pPr>
              <w:spacing w:after="40" w:line="240" w:lineRule="auto"/>
              <w:jc w:val="center"/>
            </w:pPr>
            <w:r>
              <w:rPr>
                <w:sz w:val="21"/>
              </w:rPr>
              <w:t>876</w:t>
            </w:r>
          </w:p>
        </w:tc>
        <w:tc>
          <w:tcPr>
            <w:tcW w:type="dxa" w:w="1368"/>
            <w:vAlign w:val="center"/>
            <w:shd w:fill="FFFFFF"/>
            <w:tcMar>
              <w:top w:w="95" w:type="dxa"/>
              <w:left w:w="95" w:type="dxa"/>
              <w:bottom w:w="95" w:type="dxa"/>
              <w:right w:w="95" w:type="dxa"/>
            </w:tcMar>
          </w:tcPr>
          <w:p>
            <w:pPr>
              <w:spacing w:after="40" w:line="240" w:lineRule="auto"/>
              <w:jc w:val="center"/>
            </w:pPr>
            <w:r>
              <w:rPr>
                <w:sz w:val="21"/>
              </w:rPr>
              <w:t>7.01</w:t>
            </w:r>
          </w:p>
        </w:tc>
        <w:tc>
          <w:tcPr>
            <w:tcW w:type="dxa" w:w="2664"/>
            <w:vAlign w:val="center"/>
            <w:shd w:fill="FFFFFF"/>
            <w:tcMar>
              <w:top w:w="95" w:type="dxa"/>
              <w:left w:w="95" w:type="dxa"/>
              <w:bottom w:w="95" w:type="dxa"/>
              <w:right w:w="95" w:type="dxa"/>
            </w:tcMar>
          </w:tcPr>
          <w:p>
            <w:pPr>
              <w:spacing w:after="40" w:line="240" w:lineRule="auto"/>
            </w:pPr>
            <w:r>
              <w:rPr>
                <w:sz w:val="21"/>
              </w:rPr>
              <w:t>48.8</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at risk critical</w:t>
            </w:r>
          </w:p>
        </w:tc>
        <w:tc>
          <w:tcPr>
            <w:tcW w:type="dxa" w:w="1224"/>
            <w:vAlign w:val="center"/>
            <w:shd w:fill="F2F5F6"/>
            <w:tcMar>
              <w:top w:w="95" w:type="dxa"/>
              <w:left w:w="95" w:type="dxa"/>
              <w:bottom w:w="95" w:type="dxa"/>
              <w:right w:w="95" w:type="dxa"/>
            </w:tcMar>
          </w:tcPr>
          <w:p>
            <w:pPr>
              <w:spacing w:after="40" w:line="240" w:lineRule="auto"/>
              <w:jc w:val="center"/>
            </w:pPr>
            <w:r>
              <w:rPr>
                <w:sz w:val="21"/>
              </w:rPr>
              <w:t>125</w:t>
            </w:r>
          </w:p>
        </w:tc>
        <w:tc>
          <w:tcPr>
            <w:tcW w:type="dxa" w:w="1152"/>
            <w:vAlign w:val="center"/>
            <w:shd w:fill="F2F5F6"/>
            <w:tcMar>
              <w:top w:w="95" w:type="dxa"/>
              <w:left w:w="95" w:type="dxa"/>
              <w:bottom w:w="95" w:type="dxa"/>
              <w:right w:w="95" w:type="dxa"/>
            </w:tcMar>
          </w:tcPr>
          <w:p>
            <w:pPr>
              <w:spacing w:after="40" w:line="240" w:lineRule="auto"/>
              <w:jc w:val="center"/>
            </w:pPr>
            <w:r>
              <w:rPr>
                <w:sz w:val="21"/>
              </w:rPr>
              <w:t>1167</w:t>
            </w:r>
          </w:p>
        </w:tc>
        <w:tc>
          <w:tcPr>
            <w:tcW w:type="dxa" w:w="1368"/>
            <w:vAlign w:val="center"/>
            <w:shd w:fill="F2F5F6"/>
            <w:tcMar>
              <w:top w:w="95" w:type="dxa"/>
              <w:left w:w="95" w:type="dxa"/>
              <w:bottom w:w="95" w:type="dxa"/>
              <w:right w:w="95" w:type="dxa"/>
            </w:tcMar>
          </w:tcPr>
          <w:p>
            <w:pPr>
              <w:spacing w:after="40" w:line="240" w:lineRule="auto"/>
              <w:jc w:val="center"/>
            </w:pPr>
            <w:r>
              <w:rPr>
                <w:sz w:val="21"/>
              </w:rPr>
              <w:t>9.34</w:t>
            </w:r>
          </w:p>
        </w:tc>
        <w:tc>
          <w:tcPr>
            <w:tcW w:type="dxa" w:w="2664"/>
            <w:vAlign w:val="center"/>
            <w:shd w:fill="F2F5F6"/>
            <w:tcMar>
              <w:top w:w="95" w:type="dxa"/>
              <w:left w:w="95" w:type="dxa"/>
              <w:bottom w:w="95" w:type="dxa"/>
              <w:right w:w="95" w:type="dxa"/>
            </w:tcMar>
          </w:tcPr>
          <w:p>
            <w:pPr>
              <w:spacing w:after="40" w:line="240" w:lineRule="auto"/>
            </w:pPr>
            <w:r>
              <w:rPr>
                <w:sz w:val="21"/>
              </w:rPr>
              <w:t>80.1</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batch status</w:t>
            </w:r>
          </w:p>
        </w:tc>
        <w:tc>
          <w:tcPr>
            <w:tcW w:type="dxa" w:w="1224"/>
            <w:vAlign w:val="center"/>
            <w:shd w:fill="FFFFFF"/>
            <w:tcMar>
              <w:top w:w="95" w:type="dxa"/>
              <w:left w:w="95" w:type="dxa"/>
              <w:bottom w:w="95" w:type="dxa"/>
              <w:right w:w="95" w:type="dxa"/>
            </w:tcMar>
          </w:tcPr>
          <w:p>
            <w:pPr>
              <w:spacing w:after="40" w:line="240" w:lineRule="auto"/>
              <w:jc w:val="center"/>
            </w:pPr>
            <w:r>
              <w:rPr>
                <w:sz w:val="21"/>
              </w:rPr>
              <w:t>125</w:t>
            </w:r>
          </w:p>
        </w:tc>
        <w:tc>
          <w:tcPr>
            <w:tcW w:type="dxa" w:w="1152"/>
            <w:vAlign w:val="center"/>
            <w:shd w:fill="FFFFFF"/>
            <w:tcMar>
              <w:top w:w="95" w:type="dxa"/>
              <w:left w:w="95" w:type="dxa"/>
              <w:bottom w:w="95" w:type="dxa"/>
              <w:right w:w="95" w:type="dxa"/>
            </w:tcMar>
          </w:tcPr>
          <w:p>
            <w:pPr>
              <w:spacing w:after="40" w:line="240" w:lineRule="auto"/>
              <w:jc w:val="center"/>
            </w:pPr>
            <w:r>
              <w:rPr>
                <w:sz w:val="21"/>
              </w:rPr>
              <w:t>908</w:t>
            </w:r>
          </w:p>
        </w:tc>
        <w:tc>
          <w:tcPr>
            <w:tcW w:type="dxa" w:w="1368"/>
            <w:vAlign w:val="center"/>
            <w:shd w:fill="FFFFFF"/>
            <w:tcMar>
              <w:top w:w="95" w:type="dxa"/>
              <w:left w:w="95" w:type="dxa"/>
              <w:bottom w:w="95" w:type="dxa"/>
              <w:right w:w="95" w:type="dxa"/>
            </w:tcMar>
          </w:tcPr>
          <w:p>
            <w:pPr>
              <w:spacing w:after="40" w:line="240" w:lineRule="auto"/>
              <w:jc w:val="center"/>
            </w:pPr>
            <w:r>
              <w:rPr>
                <w:sz w:val="21"/>
              </w:rPr>
              <w:t>7.26</w:t>
            </w:r>
          </w:p>
        </w:tc>
        <w:tc>
          <w:tcPr>
            <w:tcW w:type="dxa" w:w="2664"/>
            <w:vAlign w:val="center"/>
            <w:shd w:fill="FFFFFF"/>
            <w:tcMar>
              <w:top w:w="95" w:type="dxa"/>
              <w:left w:w="95" w:type="dxa"/>
              <w:bottom w:w="95" w:type="dxa"/>
              <w:right w:w="95" w:type="dxa"/>
            </w:tcMar>
          </w:tcPr>
          <w:p>
            <w:pPr>
              <w:spacing w:after="40" w:line="240" w:lineRule="auto"/>
            </w:pPr>
            <w:r>
              <w:rPr>
                <w:sz w:val="21"/>
              </w:rPr>
              <w:t>51.0</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enrichment context</w:t>
            </w:r>
          </w:p>
        </w:tc>
        <w:tc>
          <w:tcPr>
            <w:tcW w:type="dxa" w:w="1224"/>
            <w:vAlign w:val="center"/>
            <w:shd w:fill="F2F5F6"/>
            <w:tcMar>
              <w:top w:w="95" w:type="dxa"/>
              <w:left w:w="95" w:type="dxa"/>
              <w:bottom w:w="95" w:type="dxa"/>
              <w:right w:w="95" w:type="dxa"/>
            </w:tcMar>
          </w:tcPr>
          <w:p>
            <w:pPr>
              <w:spacing w:after="40" w:line="240" w:lineRule="auto"/>
              <w:jc w:val="center"/>
            </w:pPr>
            <w:r>
              <w:rPr>
                <w:sz w:val="21"/>
              </w:rPr>
              <w:t>125</w:t>
            </w:r>
          </w:p>
        </w:tc>
        <w:tc>
          <w:tcPr>
            <w:tcW w:type="dxa" w:w="1152"/>
            <w:vAlign w:val="center"/>
            <w:shd w:fill="F2F5F6"/>
            <w:tcMar>
              <w:top w:w="95" w:type="dxa"/>
              <w:left w:w="95" w:type="dxa"/>
              <w:bottom w:w="95" w:type="dxa"/>
              <w:right w:w="95" w:type="dxa"/>
            </w:tcMar>
          </w:tcPr>
          <w:p>
            <w:pPr>
              <w:spacing w:after="40" w:line="240" w:lineRule="auto"/>
              <w:jc w:val="center"/>
            </w:pPr>
            <w:r>
              <w:rPr>
                <w:sz w:val="21"/>
              </w:rPr>
              <w:t>972</w:t>
            </w:r>
          </w:p>
        </w:tc>
        <w:tc>
          <w:tcPr>
            <w:tcW w:type="dxa" w:w="1368"/>
            <w:vAlign w:val="center"/>
            <w:shd w:fill="F2F5F6"/>
            <w:tcMar>
              <w:top w:w="95" w:type="dxa"/>
              <w:left w:w="95" w:type="dxa"/>
              <w:bottom w:w="95" w:type="dxa"/>
              <w:right w:w="95" w:type="dxa"/>
            </w:tcMar>
          </w:tcPr>
          <w:p>
            <w:pPr>
              <w:spacing w:after="40" w:line="240" w:lineRule="auto"/>
              <w:jc w:val="center"/>
            </w:pPr>
            <w:r>
              <w:rPr>
                <w:sz w:val="21"/>
              </w:rPr>
              <w:t>7.78</w:t>
            </w:r>
          </w:p>
        </w:tc>
        <w:tc>
          <w:tcPr>
            <w:tcW w:type="dxa" w:w="2664"/>
            <w:vAlign w:val="center"/>
            <w:shd w:fill="F2F5F6"/>
            <w:tcMar>
              <w:top w:w="95" w:type="dxa"/>
              <w:left w:w="95" w:type="dxa"/>
              <w:bottom w:w="95" w:type="dxa"/>
              <w:right w:w="95" w:type="dxa"/>
            </w:tcMar>
          </w:tcPr>
          <w:p>
            <w:pPr>
              <w:spacing w:after="40" w:line="240" w:lineRule="auto"/>
            </w:pPr>
            <w:r>
              <w:rPr>
                <w:sz w:val="21"/>
              </w:rPr>
              <w:t>61.9</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multi step comparative</w:t>
            </w:r>
          </w:p>
        </w:tc>
        <w:tc>
          <w:tcPr>
            <w:tcW w:type="dxa" w:w="1224"/>
            <w:vAlign w:val="center"/>
            <w:shd w:fill="FFFFFF"/>
            <w:tcMar>
              <w:top w:w="95" w:type="dxa"/>
              <w:left w:w="95" w:type="dxa"/>
              <w:bottom w:w="95" w:type="dxa"/>
              <w:right w:w="95" w:type="dxa"/>
            </w:tcMar>
          </w:tcPr>
          <w:p>
            <w:pPr>
              <w:spacing w:after="40" w:line="240" w:lineRule="auto"/>
              <w:jc w:val="center"/>
            </w:pPr>
            <w:r>
              <w:rPr>
                <w:sz w:val="21"/>
              </w:rPr>
              <w:t>125</w:t>
            </w:r>
          </w:p>
        </w:tc>
        <w:tc>
          <w:tcPr>
            <w:tcW w:type="dxa" w:w="1152"/>
            <w:vAlign w:val="center"/>
            <w:shd w:fill="FFFFFF"/>
            <w:tcMar>
              <w:top w:w="95" w:type="dxa"/>
              <w:left w:w="95" w:type="dxa"/>
              <w:bottom w:w="95" w:type="dxa"/>
              <w:right w:w="95" w:type="dxa"/>
            </w:tcMar>
          </w:tcPr>
          <w:p>
            <w:pPr>
              <w:spacing w:after="40" w:line="240" w:lineRule="auto"/>
              <w:jc w:val="center"/>
            </w:pPr>
            <w:r>
              <w:rPr>
                <w:sz w:val="21"/>
              </w:rPr>
              <w:t>903</w:t>
            </w:r>
          </w:p>
        </w:tc>
        <w:tc>
          <w:tcPr>
            <w:tcW w:type="dxa" w:w="1368"/>
            <w:vAlign w:val="center"/>
            <w:shd w:fill="FFFFFF"/>
            <w:tcMar>
              <w:top w:w="95" w:type="dxa"/>
              <w:left w:w="95" w:type="dxa"/>
              <w:bottom w:w="95" w:type="dxa"/>
              <w:right w:w="95" w:type="dxa"/>
            </w:tcMar>
          </w:tcPr>
          <w:p>
            <w:pPr>
              <w:spacing w:after="40" w:line="240" w:lineRule="auto"/>
              <w:jc w:val="center"/>
            </w:pPr>
            <w:r>
              <w:rPr>
                <w:sz w:val="21"/>
              </w:rPr>
              <w:t>7.22</w:t>
            </w:r>
          </w:p>
        </w:tc>
        <w:tc>
          <w:tcPr>
            <w:tcW w:type="dxa" w:w="2664"/>
            <w:vAlign w:val="center"/>
            <w:shd w:fill="FFFFFF"/>
            <w:tcMar>
              <w:top w:w="95" w:type="dxa"/>
              <w:left w:w="95" w:type="dxa"/>
              <w:bottom w:w="95" w:type="dxa"/>
              <w:right w:w="95" w:type="dxa"/>
            </w:tcMar>
          </w:tcPr>
          <w:p>
            <w:pPr>
              <w:spacing w:after="40" w:line="240" w:lineRule="auto"/>
            </w:pPr>
            <w:r>
              <w:rPr>
                <w:sz w:val="21"/>
              </w:rPr>
              <w:t>81.9</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reference compliance</w:t>
            </w:r>
          </w:p>
        </w:tc>
        <w:tc>
          <w:tcPr>
            <w:tcW w:type="dxa" w:w="1224"/>
            <w:vAlign w:val="center"/>
            <w:shd w:fill="F2F5F6"/>
            <w:tcMar>
              <w:top w:w="95" w:type="dxa"/>
              <w:left w:w="95" w:type="dxa"/>
              <w:bottom w:w="95" w:type="dxa"/>
              <w:right w:w="95" w:type="dxa"/>
            </w:tcMar>
          </w:tcPr>
          <w:p>
            <w:pPr>
              <w:spacing w:after="40" w:line="240" w:lineRule="auto"/>
              <w:jc w:val="center"/>
            </w:pPr>
            <w:r>
              <w:rPr>
                <w:sz w:val="21"/>
              </w:rPr>
              <w:t>125</w:t>
            </w:r>
          </w:p>
        </w:tc>
        <w:tc>
          <w:tcPr>
            <w:tcW w:type="dxa" w:w="1152"/>
            <w:vAlign w:val="center"/>
            <w:shd w:fill="F2F5F6"/>
            <w:tcMar>
              <w:top w:w="95" w:type="dxa"/>
              <w:left w:w="95" w:type="dxa"/>
              <w:bottom w:w="95" w:type="dxa"/>
              <w:right w:w="95" w:type="dxa"/>
            </w:tcMar>
          </w:tcPr>
          <w:p>
            <w:pPr>
              <w:spacing w:after="40" w:line="240" w:lineRule="auto"/>
              <w:jc w:val="center"/>
            </w:pPr>
            <w:r>
              <w:rPr>
                <w:sz w:val="21"/>
              </w:rPr>
              <w:t>820</w:t>
            </w:r>
          </w:p>
        </w:tc>
        <w:tc>
          <w:tcPr>
            <w:tcW w:type="dxa" w:w="1368"/>
            <w:vAlign w:val="center"/>
            <w:shd w:fill="F2F5F6"/>
            <w:tcMar>
              <w:top w:w="95" w:type="dxa"/>
              <w:left w:w="95" w:type="dxa"/>
              <w:bottom w:w="95" w:type="dxa"/>
              <w:right w:w="95" w:type="dxa"/>
            </w:tcMar>
          </w:tcPr>
          <w:p>
            <w:pPr>
              <w:spacing w:after="40" w:line="240" w:lineRule="auto"/>
              <w:jc w:val="center"/>
            </w:pPr>
            <w:r>
              <w:rPr>
                <w:sz w:val="21"/>
              </w:rPr>
              <w:t>6.56</w:t>
            </w:r>
          </w:p>
        </w:tc>
        <w:tc>
          <w:tcPr>
            <w:tcW w:type="dxa" w:w="2664"/>
            <w:vAlign w:val="center"/>
            <w:shd w:fill="F2F5F6"/>
            <w:tcMar>
              <w:top w:w="95" w:type="dxa"/>
              <w:left w:w="95" w:type="dxa"/>
              <w:bottom w:w="95" w:type="dxa"/>
              <w:right w:w="95" w:type="dxa"/>
            </w:tcMar>
          </w:tcPr>
          <w:p>
            <w:pPr>
              <w:spacing w:after="40" w:line="240" w:lineRule="auto"/>
            </w:pPr>
            <w:r>
              <w:rPr>
                <w:sz w:val="21"/>
              </w:rPr>
              <w:t>42.9</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scoring quantitative</w:t>
            </w:r>
          </w:p>
        </w:tc>
        <w:tc>
          <w:tcPr>
            <w:tcW w:type="dxa" w:w="1224"/>
            <w:vAlign w:val="center"/>
            <w:shd w:fill="FFFFFF"/>
            <w:tcMar>
              <w:top w:w="95" w:type="dxa"/>
              <w:left w:w="95" w:type="dxa"/>
              <w:bottom w:w="95" w:type="dxa"/>
              <w:right w:w="95" w:type="dxa"/>
            </w:tcMar>
          </w:tcPr>
          <w:p>
            <w:pPr>
              <w:spacing w:after="40" w:line="240" w:lineRule="auto"/>
              <w:jc w:val="center"/>
            </w:pPr>
            <w:r>
              <w:rPr>
                <w:sz w:val="21"/>
              </w:rPr>
              <w:t>125</w:t>
            </w:r>
          </w:p>
        </w:tc>
        <w:tc>
          <w:tcPr>
            <w:tcW w:type="dxa" w:w="1152"/>
            <w:vAlign w:val="center"/>
            <w:shd w:fill="FFFFFF"/>
            <w:tcMar>
              <w:top w:w="95" w:type="dxa"/>
              <w:left w:w="95" w:type="dxa"/>
              <w:bottom w:w="95" w:type="dxa"/>
              <w:right w:w="95" w:type="dxa"/>
            </w:tcMar>
          </w:tcPr>
          <w:p>
            <w:pPr>
              <w:spacing w:after="40" w:line="240" w:lineRule="auto"/>
              <w:jc w:val="center"/>
            </w:pPr>
            <w:r>
              <w:rPr>
                <w:sz w:val="21"/>
              </w:rPr>
              <w:t>841</w:t>
            </w:r>
          </w:p>
        </w:tc>
        <w:tc>
          <w:tcPr>
            <w:tcW w:type="dxa" w:w="1368"/>
            <w:vAlign w:val="center"/>
            <w:shd w:fill="FFFFFF"/>
            <w:tcMar>
              <w:top w:w="95" w:type="dxa"/>
              <w:left w:w="95" w:type="dxa"/>
              <w:bottom w:w="95" w:type="dxa"/>
              <w:right w:w="95" w:type="dxa"/>
            </w:tcMar>
          </w:tcPr>
          <w:p>
            <w:pPr>
              <w:spacing w:after="40" w:line="240" w:lineRule="auto"/>
              <w:jc w:val="center"/>
            </w:pPr>
            <w:r>
              <w:rPr>
                <w:sz w:val="21"/>
              </w:rPr>
              <w:t>6.73</w:t>
            </w:r>
          </w:p>
        </w:tc>
        <w:tc>
          <w:tcPr>
            <w:tcW w:type="dxa" w:w="2664"/>
            <w:vAlign w:val="center"/>
            <w:shd w:fill="FFFFFF"/>
            <w:tcMar>
              <w:top w:w="95" w:type="dxa"/>
              <w:left w:w="95" w:type="dxa"/>
              <w:bottom w:w="95" w:type="dxa"/>
              <w:right w:w="95" w:type="dxa"/>
            </w:tcMar>
          </w:tcPr>
          <w:p>
            <w:pPr>
              <w:spacing w:after="40" w:line="240" w:lineRule="auto"/>
            </w:pPr>
            <w:r>
              <w:rPr>
                <w:sz w:val="21"/>
              </w:rPr>
              <w:t>48.5</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temporal transaction</w:t>
            </w:r>
          </w:p>
        </w:tc>
        <w:tc>
          <w:tcPr>
            <w:tcW w:type="dxa" w:w="1224"/>
            <w:vAlign w:val="center"/>
            <w:shd w:fill="F2F5F6"/>
            <w:tcMar>
              <w:top w:w="95" w:type="dxa"/>
              <w:left w:w="95" w:type="dxa"/>
              <w:bottom w:w="95" w:type="dxa"/>
              <w:right w:w="95" w:type="dxa"/>
            </w:tcMar>
          </w:tcPr>
          <w:p>
            <w:pPr>
              <w:spacing w:after="40" w:line="240" w:lineRule="auto"/>
              <w:jc w:val="center"/>
            </w:pPr>
            <w:r>
              <w:rPr>
                <w:sz w:val="21"/>
              </w:rPr>
              <w:t>125</w:t>
            </w:r>
          </w:p>
        </w:tc>
        <w:tc>
          <w:tcPr>
            <w:tcW w:type="dxa" w:w="1152"/>
            <w:vAlign w:val="center"/>
            <w:shd w:fill="F2F5F6"/>
            <w:tcMar>
              <w:top w:w="95" w:type="dxa"/>
              <w:left w:w="95" w:type="dxa"/>
              <w:bottom w:w="95" w:type="dxa"/>
              <w:right w:w="95" w:type="dxa"/>
            </w:tcMar>
          </w:tcPr>
          <w:p>
            <w:pPr>
              <w:spacing w:after="40" w:line="240" w:lineRule="auto"/>
              <w:jc w:val="center"/>
            </w:pPr>
            <w:r>
              <w:rPr>
                <w:sz w:val="21"/>
              </w:rPr>
              <w:t>776</w:t>
            </w:r>
          </w:p>
        </w:tc>
        <w:tc>
          <w:tcPr>
            <w:tcW w:type="dxa" w:w="1368"/>
            <w:vAlign w:val="center"/>
            <w:shd w:fill="F2F5F6"/>
            <w:tcMar>
              <w:top w:w="95" w:type="dxa"/>
              <w:left w:w="95" w:type="dxa"/>
              <w:bottom w:w="95" w:type="dxa"/>
              <w:right w:w="95" w:type="dxa"/>
            </w:tcMar>
          </w:tcPr>
          <w:p>
            <w:pPr>
              <w:spacing w:after="40" w:line="240" w:lineRule="auto"/>
              <w:jc w:val="center"/>
            </w:pPr>
            <w:r>
              <w:rPr>
                <w:sz w:val="21"/>
              </w:rPr>
              <w:t>6.21</w:t>
            </w:r>
          </w:p>
        </w:tc>
        <w:tc>
          <w:tcPr>
            <w:tcW w:type="dxa" w:w="2664"/>
            <w:vAlign w:val="center"/>
            <w:shd w:fill="F2F5F6"/>
            <w:tcMar>
              <w:top w:w="95" w:type="dxa"/>
              <w:left w:w="95" w:type="dxa"/>
              <w:bottom w:w="95" w:type="dxa"/>
              <w:right w:w="95" w:type="dxa"/>
            </w:tcMar>
          </w:tcPr>
          <w:p>
            <w:pPr>
              <w:spacing w:after="40" w:line="240" w:lineRule="auto"/>
            </w:pPr>
            <w:r>
              <w:rPr>
                <w:sz w:val="21"/>
              </w:rPr>
              <w:t>46.4</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All types</w:t>
            </w:r>
          </w:p>
        </w:tc>
        <w:tc>
          <w:tcPr>
            <w:tcW w:type="dxa" w:w="1224"/>
            <w:vAlign w:val="center"/>
            <w:shd w:fill="FFFFFF"/>
            <w:tcMar>
              <w:top w:w="95" w:type="dxa"/>
              <w:left w:w="95" w:type="dxa"/>
              <w:bottom w:w="95" w:type="dxa"/>
              <w:right w:w="95" w:type="dxa"/>
            </w:tcMar>
          </w:tcPr>
          <w:p>
            <w:pPr>
              <w:spacing w:after="40" w:line="240" w:lineRule="auto"/>
              <w:jc w:val="center"/>
            </w:pPr>
            <w:r>
              <w:rPr>
                <w:sz w:val="21"/>
              </w:rPr>
              <w:t>1000</w:t>
            </w:r>
          </w:p>
        </w:tc>
        <w:tc>
          <w:tcPr>
            <w:tcW w:type="dxa" w:w="1152"/>
            <w:vAlign w:val="center"/>
            <w:shd w:fill="FFFFFF"/>
            <w:tcMar>
              <w:top w:w="95" w:type="dxa"/>
              <w:left w:w="95" w:type="dxa"/>
              <w:bottom w:w="95" w:type="dxa"/>
              <w:right w:w="95" w:type="dxa"/>
            </w:tcMar>
          </w:tcPr>
          <w:p>
            <w:pPr>
              <w:spacing w:after="40" w:line="240" w:lineRule="auto"/>
              <w:jc w:val="center"/>
            </w:pPr>
            <w:r>
              <w:rPr>
                <w:sz w:val="21"/>
              </w:rPr>
              <w:t>7263</w:t>
            </w:r>
          </w:p>
        </w:tc>
        <w:tc>
          <w:tcPr>
            <w:tcW w:type="dxa" w:w="1368"/>
            <w:vAlign w:val="center"/>
            <w:shd w:fill="FFFFFF"/>
            <w:tcMar>
              <w:top w:w="95" w:type="dxa"/>
              <w:left w:w="95" w:type="dxa"/>
              <w:bottom w:w="95" w:type="dxa"/>
              <w:right w:w="95" w:type="dxa"/>
            </w:tcMar>
          </w:tcPr>
          <w:p>
            <w:pPr>
              <w:spacing w:after="40" w:line="240" w:lineRule="auto"/>
              <w:jc w:val="center"/>
            </w:pPr>
            <w:r>
              <w:rPr>
                <w:sz w:val="21"/>
              </w:rPr>
              <w:t>7.26</w:t>
            </w:r>
          </w:p>
        </w:tc>
        <w:tc>
          <w:tcPr>
            <w:tcW w:type="dxa" w:w="2664"/>
            <w:vAlign w:val="center"/>
            <w:shd w:fill="FFFFFF"/>
            <w:tcMar>
              <w:top w:w="95" w:type="dxa"/>
              <w:left w:w="95" w:type="dxa"/>
              <w:bottom w:w="95" w:type="dxa"/>
              <w:right w:w="95" w:type="dxa"/>
            </w:tcMar>
          </w:tcPr>
          <w:p>
            <w:pPr>
              <w:spacing w:after="40" w:line="240" w:lineRule="auto"/>
            </w:pPr>
            <w:r>
              <w:rPr>
                <w:sz w:val="21"/>
              </w:rPr>
              <w:t>57.7</w:t>
            </w:r>
          </w:p>
        </w:tc>
      </w:tr>
    </w:tbl>
    <w:p>
      <w:pPr>
        <w:spacing w:after="0"/>
      </w:pPr>
    </w:p>
    <w:p>
      <w:r>
        <w:rPr>
          <w:b/>
        </w:rPr>
        <w:t>Across the 1,000 original attempts: 7,263 model calls, averaging 7.26 per question. Average recorded processing time was 57.7 seconds per question; this is not the total elapsed time when multiple terminals run together.</w:t>
      </w:r>
    </w:p>
    <w:p>
      <w:r>
        <w:rPr>
          <w:b w:val="0"/>
        </w:rPr>
        <w:t>A call means one instrumented SDK invocation. Internal SDK retries are not separate entries; their waiting time can be included. Startup calls have no question ID and are excluded from this average. Grader calls are also excluded.</w:t>
      </w:r>
    </w:p>
    <w:p>
      <w:r>
        <w:rPr>
          <w:b w:val="0"/>
        </w:rPr>
        <w:t>Audit source: improvement7/.runtime/logs/timing_20261003_1346*.json. workflow_metrics.json lists the exact eight files, totals and stage counts so this snapshot can be checked.</w:t>
      </w:r>
    </w:p>
    <w:p>
      <w:pPr>
        <w:pStyle w:val="Heading1"/>
        <w:pageBreakBefore/>
        <w:spacing w:before="0"/>
      </w:pPr>
      <w:r>
        <w:t>How to change the workflow</w:t>
      </w:r>
    </w:p>
    <w:p>
      <w:pPr>
        <w:pStyle w:val="Heading2"/>
      </w:pPr>
      <w:r>
        <w:t>Edit the picture or edit the running pipeline</w:t>
      </w:r>
    </w:p>
    <w:p>
      <w:r>
        <w:rPr>
          <w:b w:val="0"/>
        </w:rPr>
        <w:t>The Word text is editable. Its diagrams are images for stable layout. Open Improvement7_Workflow.drawio in a compatible diagram editor to edit boxes and arrows. Its three pages show the main workflow, Query Understanding recovery and all self-healing paths. Editing these documents does not change pipeline behavior.</w:t>
      </w:r>
    </w:p>
    <w:p>
      <w:r>
        <w:rPr>
          <w:b w:val="0"/>
        </w:rPr>
        <w:t>For actual behavior changes, use the code map below. Paths are relative to improvement7/run_pipeline_v2_sql unless stated otherwise.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tblHeader/>
          <w:cantSplit/>
        </w:trPr>
        <w:tc>
          <w:tcPr>
            <w:tcW w:type="dxa" w:w="3816"/>
            <w:vAlign w:val="center"/>
            <w:shd w:fill="37474F"/>
            <w:tcMar>
              <w:top w:w="95" w:type="dxa"/>
              <w:left w:w="95" w:type="dxa"/>
              <w:bottom w:w="95" w:type="dxa"/>
              <w:right w:w="95" w:type="dxa"/>
            </w:tcMar>
          </w:tcPr>
          <w:p>
            <w:pPr>
              <w:spacing w:after="40" w:line="240" w:lineRule="auto"/>
            </w:pPr>
            <w:r>
              <w:rPr>
                <w:b/>
                <w:color w:val="FFFFFF"/>
                <w:sz w:val="21"/>
              </w:rPr>
              <w:t>Change you want</w:t>
            </w:r>
          </w:p>
        </w:tc>
        <w:tc>
          <w:tcPr>
            <w:tcW w:type="dxa" w:w="6408"/>
            <w:vAlign w:val="center"/>
            <w:shd w:fill="37474F"/>
            <w:tcMar>
              <w:top w:w="95" w:type="dxa"/>
              <w:left w:w="95" w:type="dxa"/>
              <w:bottom w:w="95" w:type="dxa"/>
              <w:right w:w="95" w:type="dxa"/>
            </w:tcMar>
          </w:tcPr>
          <w:p>
            <w:pPr>
              <w:spacing w:after="40" w:line="240" w:lineRule="auto"/>
            </w:pPr>
            <w:r>
              <w:rPr>
                <w:b/>
                <w:color w:val="FFFFFF"/>
                <w:sz w:val="21"/>
              </w:rPr>
              <w:t>File or entry point</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Operator order or branches</w:t>
            </w:r>
          </w:p>
        </w:tc>
        <w:tc>
          <w:tcPr>
            <w:tcW w:type="dxa" w:w="6408"/>
            <w:vAlign w:val="center"/>
            <w:shd w:fill="FFFFFF"/>
            <w:tcMar>
              <w:top w:w="95" w:type="dxa"/>
              <w:left w:w="95" w:type="dxa"/>
              <w:bottom w:w="95" w:type="dxa"/>
              <w:right w:w="95" w:type="dxa"/>
            </w:tcMar>
          </w:tcPr>
          <w:p>
            <w:pPr>
              <w:spacing w:after="40" w:line="240" w:lineRule="auto"/>
            </w:pPr>
            <w:r>
              <w:rPr>
                <w:sz w:val="21"/>
              </w:rPr>
              <w:t>planner.py: AdvancedAOPPlanner._build_three_spec_dag</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Startup, agent wiring, outer retries and reports</w:t>
            </w:r>
          </w:p>
        </w:tc>
        <w:tc>
          <w:tcPr>
            <w:tcW w:type="dxa" w:w="6408"/>
            <w:vAlign w:val="center"/>
            <w:shd w:fill="F2F5F6"/>
            <w:tcMar>
              <w:top w:w="95" w:type="dxa"/>
              <w:left w:w="95" w:type="dxa"/>
              <w:bottom w:w="95" w:type="dxa"/>
              <w:right w:w="95" w:type="dxa"/>
            </w:tcMar>
          </w:tcPr>
          <w:p>
            <w:pPr>
              <w:spacing w:after="40" w:line="240" w:lineRule="auto"/>
            </w:pPr>
            <w:r>
              <w:rPr>
                <w:sz w:val="21"/>
              </w:rPr>
              <w:t>main.py: _main and run_single_test</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Stage dispatch, local retries and repair routing</w:t>
            </w:r>
          </w:p>
        </w:tc>
        <w:tc>
          <w:tcPr>
            <w:tcW w:type="dxa" w:w="6408"/>
            <w:vAlign w:val="center"/>
            <w:shd w:fill="FFFFFF"/>
            <w:tcMar>
              <w:top w:w="95" w:type="dxa"/>
              <w:left w:w="95" w:type="dxa"/>
              <w:bottom w:w="95" w:type="dxa"/>
              <w:right w:w="95" w:type="dxa"/>
            </w:tcMar>
          </w:tcPr>
          <w:p>
            <w:pPr>
              <w:spacing w:after="40" w:line="240" w:lineRule="auto"/>
            </w:pPr>
            <w:r>
              <w:rPr>
                <w:sz w:val="21"/>
              </w:rPr>
              <w:t>executor.py: AOPExecutor.execute_dag</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Question contract and its 3-attempt fallback</w:t>
            </w:r>
          </w:p>
        </w:tc>
        <w:tc>
          <w:tcPr>
            <w:tcW w:type="dxa" w:w="6408"/>
            <w:vAlign w:val="center"/>
            <w:shd w:fill="F2F5F6"/>
            <w:tcMar>
              <w:top w:w="95" w:type="dxa"/>
              <w:left w:w="95" w:type="dxa"/>
              <w:bottom w:w="95" w:type="dxa"/>
              <w:right w:w="95" w:type="dxa"/>
            </w:tcMar>
          </w:tcPr>
          <w:p>
            <w:pPr>
              <w:spacing w:after="40" w:line="240" w:lineRule="auto"/>
            </w:pPr>
            <w:r>
              <w:rPr>
                <w:sz w:val="21"/>
              </w:rPr>
              <w:t>query_understanding.py: understand_query</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Domain compilation, cache and citations</w:t>
            </w:r>
          </w:p>
        </w:tc>
        <w:tc>
          <w:tcPr>
            <w:tcW w:type="dxa" w:w="6408"/>
            <w:vAlign w:val="center"/>
            <w:shd w:fill="FFFFFF"/>
            <w:tcMar>
              <w:top w:w="95" w:type="dxa"/>
              <w:left w:w="95" w:type="dxa"/>
              <w:bottom w:w="95" w:type="dxa"/>
              <w:right w:w="95" w:type="dxa"/>
            </w:tcMar>
          </w:tcPr>
          <w:p>
            <w:pPr>
              <w:spacing w:after="40" w:line="240" w:lineRule="auto"/>
            </w:pPr>
            <w:r>
              <w:rPr>
                <w:sz w:val="21"/>
              </w:rPr>
              <w:t>knowledge.py: compile_knowledge</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Live advice and its shared request budget</w:t>
            </w:r>
          </w:p>
        </w:tc>
        <w:tc>
          <w:tcPr>
            <w:tcW w:type="dxa" w:w="6408"/>
            <w:vAlign w:val="center"/>
            <w:shd w:fill="F2F5F6"/>
            <w:tcMar>
              <w:top w:w="95" w:type="dxa"/>
              <w:left w:w="95" w:type="dxa"/>
              <w:bottom w:w="95" w:type="dxa"/>
              <w:right w:w="95" w:type="dxa"/>
            </w:tcMar>
          </w:tcPr>
          <w:p>
            <w:pPr>
              <w:spacing w:after="40" w:line="240" w:lineRule="auto"/>
            </w:pPr>
            <w:r>
              <w:rPr>
                <w:sz w:val="21"/>
              </w:rPr>
              <w:t>consultation.py: ConsultationSession</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Final plan prompting and supported calculations</w:t>
            </w:r>
          </w:p>
        </w:tc>
        <w:tc>
          <w:tcPr>
            <w:tcW w:type="dxa" w:w="6408"/>
            <w:vAlign w:val="center"/>
            <w:shd w:fill="FFFFFF"/>
            <w:tcMar>
              <w:top w:w="95" w:type="dxa"/>
              <w:left w:w="95" w:type="dxa"/>
              <w:bottom w:w="95" w:type="dxa"/>
              <w:right w:w="95" w:type="dxa"/>
            </w:tcMar>
          </w:tcPr>
          <w:p>
            <w:pPr>
              <w:spacing w:after="40" w:line="240" w:lineRule="auto"/>
            </w:pPr>
            <w:r>
              <w:rPr>
                <w:sz w:val="21"/>
              </w:rPr>
              <w:t>llm_operators/final_spec.py; spec_runtime.py; spec_contracts.py; non_llm_operators/</w:t>
            </w:r>
          </w:p>
        </w:tc>
      </w:tr>
      <w:tr>
        <w:trPr>
          <w:cantSplit/>
        </w:trPr>
        <w:tc>
          <w:tcPr>
            <w:tcW w:type="dxa" w:w="3816"/>
            <w:vAlign w:val="center"/>
            <w:shd w:fill="F2F5F6"/>
            <w:tcMar>
              <w:top w:w="95" w:type="dxa"/>
              <w:left w:w="95" w:type="dxa"/>
              <w:bottom w:w="95" w:type="dxa"/>
              <w:right w:w="95" w:type="dxa"/>
            </w:tcMar>
          </w:tcPr>
          <w:p>
            <w:pPr>
              <w:spacing w:after="40" w:line="240" w:lineRule="auto"/>
            </w:pPr>
            <w:r>
              <w:rPr>
                <w:sz w:val="21"/>
              </w:rPr>
              <w:t>Defaults and command-line switches</w:t>
            </w:r>
          </w:p>
        </w:tc>
        <w:tc>
          <w:tcPr>
            <w:tcW w:type="dxa" w:w="6408"/>
            <w:vAlign w:val="center"/>
            <w:shd w:fill="F2F5F6"/>
            <w:tcMar>
              <w:top w:w="95" w:type="dxa"/>
              <w:left w:w="95" w:type="dxa"/>
              <w:bottom w:w="95" w:type="dxa"/>
              <w:right w:w="95" w:type="dxa"/>
            </w:tcMar>
          </w:tcPr>
          <w:p>
            <w:pPr>
              <w:spacing w:after="40" w:line="240" w:lineRule="auto"/>
            </w:pPr>
            <w:r>
              <w:rPr>
                <w:sz w:val="21"/>
              </w:rPr>
              <w:t>common.py and run.py</w:t>
            </w:r>
          </w:p>
        </w:tc>
      </w:tr>
      <w:tr>
        <w:trPr>
          <w:cantSplit/>
        </w:trPr>
        <w:tc>
          <w:tcPr>
            <w:tcW w:type="dxa" w:w="3816"/>
            <w:vAlign w:val="center"/>
            <w:shd w:fill="FFFFFF"/>
            <w:tcMar>
              <w:top w:w="95" w:type="dxa"/>
              <w:left w:w="95" w:type="dxa"/>
              <w:bottom w:w="95" w:type="dxa"/>
              <w:right w:w="95" w:type="dxa"/>
            </w:tcMar>
          </w:tcPr>
          <w:p>
            <w:pPr>
              <w:spacing w:after="40" w:line="240" w:lineRule="auto"/>
            </w:pPr>
            <w:r>
              <w:rPr>
                <w:sz w:val="21"/>
              </w:rPr>
              <w:t>Business meaning without changing the DAG</w:t>
            </w:r>
          </w:p>
        </w:tc>
        <w:tc>
          <w:tcPr>
            <w:tcW w:type="dxa" w:w="6408"/>
            <w:vAlign w:val="center"/>
            <w:shd w:fill="FFFFFF"/>
            <w:tcMar>
              <w:top w:w="95" w:type="dxa"/>
              <w:left w:w="95" w:type="dxa"/>
              <w:bottom w:w="95" w:type="dxa"/>
              <w:right w:w="95" w:type="dxa"/>
            </w:tcMar>
          </w:tcPr>
          <w:p>
            <w:pPr>
              <w:spacing w:after="40" w:line="240" w:lineRule="auto"/>
            </w:pPr>
            <w:r>
              <w:rPr>
                <w:sz w:val="21"/>
              </w:rPr>
              <w:t>../business_rules_addendum.md; ../domain_intro_latest.prompt; ../table_medatada/*.yaml</w:t>
            </w:r>
          </w:p>
        </w:tc>
      </w:tr>
    </w:tbl>
    <w:p>
      <w:pPr>
        <w:spacing w:after="0"/>
      </w:pPr>
    </w:p>
    <w:p>
      <w:pPr>
        <w:pStyle w:val="Heading2"/>
      </w:pPr>
      <w:r>
        <w:t>Make a small controlled change</w:t>
      </w:r>
    </w:p>
    <w:p>
      <w:r>
        <w:rPr>
          <w:b w:val="0"/>
        </w:rPr>
        <w:t>1. Decide whether the change is business meaning, interpretation, operator order or execution. Change only the owning layer. Adding a new operator also requires registry wiring, compiler support, prompt updates and tests; an arrow alone is not enough.</w:t>
      </w:r>
    </w:p>
    <w:p>
      <w:r>
        <w:rPr>
          <w:b w:val="0"/>
        </w:rPr>
        <w:t>2. Keep the test set and ground truth out of agent prompts and business rules. Define general behavior, then test it without encoding individual benchmark answers.</w:t>
      </w:r>
    </w:p>
    <w:p>
      <w:r>
        <w:rPr>
          <w:b w:val="0"/>
        </w:rPr>
        <w:t>3. Run the existing unit tests from the financial folder:</w:t>
      </w:r>
    </w:p>
    <w:p>
      <w:r>
        <w:rPr>
          <w:rFonts w:ascii="Consolas" w:hAnsi="Consolas"/>
          <w:b w:val="0"/>
          <w:sz w:val="18"/>
        </w:rPr>
        <w:t>python -B -m unittest discover -s improvement7/run_pipeline_v2_sql/tests -v</w:t>
      </w:r>
    </w:p>
    <w:p>
      <w:r>
        <w:rPr>
          <w:b w:val="0"/>
        </w:rPr>
        <w:t>4. Use a separate output report for a full comparison after changing code. In-place error retries keep successful rows from older runs, so that report is a mixed-run result, not a clean full rerun.</w:t>
      </w:r>
    </w:p>
    <w:p>
      <w:r>
        <w:rPr>
          <w:b w:val="0"/>
        </w:rPr>
        <w:t>This guide was generated from the local code and saved timing logs. No pipeline logic, business rules, test questions or existing results were changed for this documentation task.</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Code and historical logs inspected 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IMPROVEMENT 7  |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Improvement 7 Workflow Guide</dc:title>
  <dc:subject>Pipeline agents, operators, retries and measured model calls</dc:subject>
  <dc:creator>Workflow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