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Question Similarity Summary</w:t>
      </w:r>
    </w:p>
    <w:p>
      <w:pPr/>
      <w:r>
        <w:t xml:space="preserve">Reference set: 200 questions from /DATAAMAN/financial/final1.xlsx.</w:t>
      </w:r>
    </w:p>
    <w:p>
      <w:pPr/>
      <w:r>
        <w:t xml:space="preserve">Method: each IITK/combined question was compared against all 200 questions. The top 5 matches were selected using lexical similarity, topic-word overlap, and question-intent overlap.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pPr/>
            <w:r>
              <w:t xml:space="preserve">Dataset</w:t>
            </w:r>
          </w:p>
        </w:tc>
        <w:tc>
          <w:tcPr>
            <w:tcW w:w="2400" w:type="dxa"/>
          </w:tcPr>
          <w:p>
            <w:pPr/>
            <w:r>
              <w:t xml:space="preserve">Questions</w:t>
            </w:r>
          </w:p>
        </w:tc>
        <w:tc>
          <w:tcPr>
            <w:tcW w:w="2400" w:type="dxa"/>
          </w:tcPr>
          <w:p>
            <w:pPr/>
            <w:r>
              <w:t xml:space="preserve">Avg Score</w:t>
            </w:r>
          </w:p>
        </w:tc>
        <w:tc>
          <w:tcPr>
            <w:tcW w:w="2400" w:type="dxa"/>
          </w:tcPr>
          <w:p>
            <w:pPr/>
            <w:r>
              <w:t xml:space="preserve">Strong Matches</w:t>
            </w:r>
          </w:p>
        </w:tc>
        <w:tc>
          <w:tcPr>
            <w:tcW w:w="2400" w:type="dxa"/>
          </w:tcPr>
          <w:p>
            <w:pPr/>
            <w:r>
              <w:t xml:space="preserve">Partial/Related</w:t>
            </w:r>
          </w:p>
        </w:tc>
        <w:tc>
          <w:tcPr>
            <w:tcW w:w="2400" w:type="dxa"/>
          </w:tcPr>
          <w:p>
            <w:pPr/>
            <w:r>
              <w:t xml:space="preserve">Different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IITK Test Set</w:t>
            </w:r>
          </w:p>
        </w:tc>
        <w:tc>
          <w:tcPr>
            <w:tcW w:w="2400" w:type="dxa"/>
          </w:tcPr>
          <w:p>
            <w:pPr/>
            <w:r>
              <w:t xml:space="preserve">53</w:t>
            </w:r>
          </w:p>
        </w:tc>
        <w:tc>
          <w:tcPr>
            <w:tcW w:w="2400" w:type="dxa"/>
          </w:tcPr>
          <w:p>
            <w:pPr/>
            <w:r>
              <w:t xml:space="preserve">0.4933</w:t>
            </w:r>
          </w:p>
        </w:tc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34</w:t>
            </w:r>
          </w:p>
        </w:tc>
        <w:tc>
          <w:tcPr>
            <w:tcW w:w="2400" w:type="dxa"/>
          </w:tcPr>
          <w:p>
            <w:pPr/>
            <w:r>
              <w:t xml:space="preserve">14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Combined Questions</w:t>
            </w:r>
          </w:p>
        </w:tc>
        <w:tc>
          <w:tcPr>
            <w:tcW w:w="2400" w:type="dxa"/>
          </w:tcPr>
          <w:p>
            <w:pPr/>
            <w:r>
              <w:t xml:space="preserve">90</w:t>
            </w:r>
          </w:p>
        </w:tc>
        <w:tc>
          <w:tcPr>
            <w:tcW w:w="2400" w:type="dxa"/>
          </w:tcPr>
          <w:p>
            <w:pPr/>
            <w:r>
              <w:t xml:space="preserve">0.8921</w:t>
            </w:r>
          </w:p>
        </w:tc>
        <w:tc>
          <w:tcPr>
            <w:tcW w:w="2400" w:type="dxa"/>
          </w:tcPr>
          <w:p>
            <w:pPr/>
            <w:r>
              <w:t xml:space="preserve">90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  <w:tc>
          <w:tcPr>
            <w:tcW w:w="2400" w:type="dxa"/>
          </w:tcPr>
          <w:p>
            <w:pPr/>
            <w:r>
              <w:t xml:space="preserve">0</w:t>
            </w:r>
          </w:p>
        </w:tc>
      </w:tr>
    </w:tbl>
    <w:p>
      <w:pPr/>
      <w:r>
        <w:t xml:space="preserve">Conclusion: combined_questions_results (2).xlsx is highly similar to the 200-question set. It has 90/90 strong matches and no different questions. IITK is only moderately similar: 39/53 questions are at least partial/related matches, while 14/53 are different.</w:t>
      </w:r>
    </w:p>
    <w:p>
      <w:pPr/>
      <w:r>
        <w:t xml:space="preserve">Detailed CSVs are available in combined_top5_against_200/final1_similarity.csv and iitk_top5_against_200/final1_similarity.csv.</w:t>
      </w:r>
    </w:p>
    <w:sectPr>
      <w:pgSz w:w="11906" w:h="16838"/>
      <w:pgMar w:top="1440" w:right="720" w:bottom="144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spacing w:before="280" w:after="120"/>
    </w:pPr>
    <w:rPr>
      <w:b/>
      <w:sz w:val="28"/>
    </w:rPr>
  </w:style>
  <w:style w:type="paragraph" w:styleId="Heading2">
    <w:name w:val="heading 2"/>
    <w:basedOn w:val="Normal"/>
    <w:pPr>
      <w:spacing w:before="220" w:after="100"/>
    </w:pPr>
    <w:rPr>
      <w:b/>
      <w:sz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