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SWTID-2026-1202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>
            <w:shd w:fill="D9EAF7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FR-1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User Registration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Register using email and password; validate required fields; create a user account.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FR-2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User Login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Log in using registered email and password; issue JWT on successful authentication.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FR-3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Study Material Upload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Authenticated student can upload PDF/study files using the file-upload function.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FR-4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Study Material Management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access/manage uploaded study materials; administrator can manage study materials.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FR-5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AI Summarization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submit study material/content to Gemini AI and receive a concise summary.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FR-6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AI Notes Generation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generate structured study notes from uploaded/selected study material.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FR-7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AI Flashcard Generation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generate flashcards from study material using Gemini AI.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FR-8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AI Quiz Generation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generate quizzes from study material and receive generated questions/answers.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FR-9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Personalized Study Plan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Student can request a personalized study plan based on study requirements.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FR-10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Admin User Management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Administrator can manage application users, subject to implemented admin access controls.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FR-11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7"/>
              </w:rPr>
              <w:t>Admin Study-Material Management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7"/>
              </w:rPr>
              <w:t>Administrator can manage study-material records/files available in the application.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>
            <w:shd w:fill="D9EAF7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NFR-1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Simple web interface for registration, login, material upload, and AI study features.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NFR-2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JWT authentication for protected API access and bcryptjs for password hashing.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NFR-3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Validate requests and handle API/file-processing errors with controlled responses.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NFR-4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Use REST APIs and backend file handling to avoid unnecessary client-side processing.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NFR-5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Current application runs locally; availability depends on the local server and MongoDB service.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7"/>
              </w:rPr>
              <w:t>NFR-6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7"/>
              </w:rPr>
              <w:t>Separated frontend, backend, database, and AI responsibilities support future hosted deployment.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