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4"/>
          <w:szCs w:val="44"/>
        </w:rPr>
      </w:pPr>
      <w:bookmarkStart w:colFirst="0" w:colLast="0" w:name="_66sw7r0fo5k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Solution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28 August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SWTID-2026-4103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AI FAQ ASSISTANT API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Maximum Marks:</w:t>
      </w:r>
      <w:r w:rsidDel="00000000" w:rsidR="00000000" w:rsidRPr="00000000">
        <w:rPr>
          <w:rtl w:val="0"/>
        </w:rPr>
        <w:t xml:space="preserve"> 5 Marks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psocw1aw1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Architecture Diagram: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high-level visual representation of the AI BlogNest API solution architecture using the following layers and components.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0w3yrb5ft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 / Client Layer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Application / Client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↑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42gc1egdh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Gateway / Backend Server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FastAPI / REST API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↑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v1lwqrh94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Service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JWT Authentication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↑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h3oywg1pc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Logic Service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Management</w:t>
        <w:br w:type="textWrapping"/>
        <w:t xml:space="preserve">AI Content Generation</w:t>
        <w:br w:type="textWrapping"/>
        <w:t xml:space="preserve">Blog Processing and Data Validation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↑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mji278oe4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API Integrations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Generative AI / AI API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↑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4dpu380j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/ Storage Layer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– MongoDB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ye8gykes7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Description Table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2.1264873839655"/>
        <w:gridCol w:w="5123.107343211492"/>
        <w:gridCol w:w="1850.2779804281656"/>
        <w:tblGridChange w:id="0">
          <w:tblGrid>
            <w:gridCol w:w="2052.1264873839655"/>
            <w:gridCol w:w="5123.107343211492"/>
            <w:gridCol w:w="1850.27798042816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Role in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Provides the interface through which users interact with the AI BlogNest application and access blog-related features.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HTML, CSS, JavaScript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Receives client requests, routes them to the appropriate backend services, and provides API communication.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FastAPI, REST 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Handles user authentication and secures API access using token-based authentication.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Logic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Handles blog creation, blog management, AI-based content generation, processing, and validation.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Python, FastAPI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Connects the application with external AI services to generate and process blog content.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Generative AI 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Stores user information, blog data, generated content, and other application-related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