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20"/>
              </w:rPr>
              <w:t>Date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20"/>
              </w:rPr>
              <w:t>30 September 2026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20"/>
              </w:rPr>
              <w:t>Team ID / Project ID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20"/>
              </w:rPr>
              <w:t>SWTID-2026-8678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20"/>
              </w:rPr>
              <w:t>Project Name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20"/>
              </w:rPr>
              <w:t>Script-Controlled ACL – Restrict Record Access Based on Field Value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20"/>
              </w:rPr>
              <w:t>Maximum Marks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/>
    <w:p>
      <w:r>
        <w:rPr>
          <w:b/>
        </w:rP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FR No.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Functional Requirement (Epic)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Sub Requirement (Story / Sub-Task)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FR-1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User and Role Management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Create EEE User and create custom roles bb1, bb2, bb3 and bb4; assign roles to the appropriate user.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FR-2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Institution Details Table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Create u_institution_details table with Student Roll Number, Student Name, Faculty Name, Branch, Email, Phone Number and Description fields.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FR-3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Script-Controlled READ ACL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Allow administrators full access and restrict record viewing according to the configured EEE branch access and bb1 role.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FR-4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CREATE / WRITE / DELETE ACLs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Use bb2 for create, bb3 for write and bb4 for delete; verify access through user impersonation.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FR-5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Access Verification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Verify that authorized users can perform permitted operations and unauthorized users are denied access to protected records.</w:t>
            </w:r>
          </w:p>
        </w:tc>
      </w:tr>
    </w:tbl>
    <w:p/>
    <w:p>
      <w:r>
        <w:rPr>
          <w:b/>
        </w:rP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NFR No.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Non-Functional Requirement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NFR-1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Usability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ACL configuration and role-based access should be understandable and manageable through the ServiceNow administration interface.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NFR-2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Unauthorized users must be prevented from viewing, creating, modifying or deleting protected records.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NFR-3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Access decisions should be applied consistently according to the configured roles, ACLs and branch conditions.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NFR-4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ACL evaluation should introduce minimal overhead while users access records, lists and forms.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NFR-5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Access control should remain available whenever the ServiceNow instance and relevant tables are available.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NFR-6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The ACL and role structure should support additional users, records and roles as the application grows.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