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2"/>
                <w:szCs w:val="22"/>
                <w:rtl w:val="0"/>
              </w:rPr>
              <w:t xml:space="preserve">SWTID-2026-8678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team has completed the ACL performance testing activities.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ACL Summary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record-level ACL implemented for u_institution_details. READ access is restricted using the EEE branch condition and bb1 role; administrators retain full access.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6096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READ – bb1</w:t>
              <w:br w:type="textWrapping"/>
              <w:t xml:space="preserve">CREATE – bb2</w:t>
              <w:br w:type="textWrapping"/>
              <w:t xml:space="preserve">WRITE – bb3</w:t>
              <w:br w:type="textWrapping"/>
              <w:t xml:space="preserve">DELETE – bb4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381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READ ACL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bb1 user can view EEE branch records; users without the required role are restricted; Admin can view all records.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4064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CREATE ACL Result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Users with the required bb1 and bb2 roles can create records.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2921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WRITE ACL Result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Users with the required bb1, bb2 and bb3 roles can edit records.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4699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DELETE ACL Result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Users with the required bb1, bb2, bb3 and bb4 roles can delete records.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5900" cy="279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Script Validation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Admin access is allowed, bb1 access is allowed according to the configured ACL, and unauthorized users are denied.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Overall Result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READ, CREATE, WRITE and DELETE ACL controls were implemented and verified successfully.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NAQqhVgEDCjvKfQO6FR4ufJCQ==">CgMxLjA4AHIhMUN3bkhXY3NBcGhxa0hUREU2MER1LS1DaTBtWEJPa0tj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