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ACL Access Control Testing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ID / 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SWTID-2026-8678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/ Access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Project team shall fill the following information to demonstrate that the ServiceNow Script-Controlled ACLs enforce record-level access according to user roles and the Branch field.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/ 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Read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bb1 role: EEE records accessible; users without bb1: no records; admin: full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4064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485900" cy="4318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Create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bb1 + bb2 roles: New/Create access available for Institution Details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2921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Write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bb1 + bb2 + bb3 roles: EEE records can be viewed and edited.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4699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485900" cy="4064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Delete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bb1 + bb2 + bb3 + bb4 roles: EEE records can be deleted.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482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Role / Condition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Access is controlled by the required role(s); the Read ACL uses the EEE branch condition and admin retains full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622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Hyperparameter Tuning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Not applicable – this is a ServiceNow ACL/security project, not a machine-learning model.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Validation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Impersonation-based validation using EEE user, users without required roles, and Admin; verify list/form access and CRUD operations.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To be attached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Verification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table: u_institution_details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 choices: ECE, EEE, CSE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ACL: bb1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ACL: bb2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ACL: bb3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ACL: bb4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Administrator: full access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ACL configuration should ensure that authorized users can perform only the operations permitted by their assigned roles, while unauthorized users are prevented from accessing or modifying restricted records.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DG9D8H4cuf3BMhY5GY1zTPfEBA==">CgMxLjA4AHIhMTBlOHBCckoycUdPSklKNHd3ZDBaSE5CTmtEcWctZWdx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