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ACL Access Control Test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 / Project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SWTID-2026-8678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ACL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team shall fill the following information to demonstrate the implementation and validation of the Script-Controlled ACLs in ServiceNow.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User and Role Creation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EEE User created. Custom roles bb1, bb2, bb3 and bb4 created and assigned as required. Screenshot to be attached.</w:t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825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82550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Custom Table and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Table: u_institution_details. Fields include Student Roll Number, Student Name, Faculty Name, Branch, Email, Phone Number and Description. Branch values: ECE, EEE, CSE.</w:t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4572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952500"/>
                  <wp:effectExtent b="0" l="0" r="0" t="0"/>
                  <wp:docPr id="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787400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Read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Record Read ACL configured for u_institution_details. bb1 required; EEE branch condition applied; Admin retains full access.</w:t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685800"/>
                  <wp:effectExtent b="0" l="0" r="0" t="0"/>
                  <wp:docPr id="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Create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Record Create ACL configured for u_institution_details. bb2 required.</w:t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6096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3937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Write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Record Write ACL configured for u_institution_details. bb3 required.</w:t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558800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4572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Delete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Record Delete ACL configured for u_institution_details. bb4 required.</w:t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355600"/>
                  <wp:effectExtent b="0" l="0" r="0" t="0"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6604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66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Access Verification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Impersonation testing: bb1 user can view EEE records; users without required roles are denied; Admin can access all records.</w:t>
            </w:r>
            <w:r w:rsidDel="00000000" w:rsidR="00000000" w:rsidRPr="00000000">
              <w:rPr/>
              <w:drawing>
                <wp:inline distB="114300" distT="114300" distL="114300" distR="114300">
                  <wp:extent cx="2028825" cy="584200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CRUD Verification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Users with bb1+bb2 can create; bb1+bb2+bb3 can edit; bb1+bb2+bb3+bb4 can delete, according to the project configuration.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Script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ACL script checks admin access, checks the bb1 role, and denies access for other users.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Overall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Record-level security is enforced through roles and the Branch field, restricting unauthorized viewing, creation, modification and deletion.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ServiceNow ACL configuration should correctly enforce access permissions for the Institution Details records based on user roles and the EEE branch condition, while allowing administrators full access.</w:t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hmHd7JTvQHqypP3fhqFJKtS67w==">CgMxLjA4AHIhMWRoS25pTlpjZEtMWC10WmZMa1dxT2dUa2tpU0JpaHZu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