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 / 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SWTID-2026-8678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ACL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team shall fill the following information in the performance testing template.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Data / Records Created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Multiple records created in u_institution_details with different Branch values: ECE, EEE and CSE. </w:t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7874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 Configuration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Record-level ACLs configured for Read, Create, Write and Delete operations using roles bb1, bb2, bb3 and bb4.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8825" cy="3937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5588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3937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5461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Utilization of Access Conditions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Read access uses the EEE branch condition. Admin users retain full access. Users without the required role are denied access.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8825" cy="6858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Script / Rules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Read ACL script checks admin access, checks the bb1 role, and denies access for other users. Create, Write and Delete ACLs use the corresponding custom roles.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List / Form Access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Access verified through the Institution Details list and record forms using user impersonation. Screenshots of authorized and unauthorized access to be attached.</w:t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5461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5842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Verification / Test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Verify bb1 users can view EEE records; bb1+bb2 can create; bb1+bb2+bb3 can edit; bb1+bb2+bb3+bb4 can delete; Admin can access all records.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ServiceNow Script-Controlled ACL implementation should enforce record-level security according to the configured roles and EEE branch condition, while administrators retain full access.</w:t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wsaMjQ0AbqQx+BPfUkjdX61AaQ==">CgMxLjA4AHIhMWZjVkUzcnBoRWVIR18xVGNJNFdVQUdiLVp6dFNLdS0z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