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Arial" w:hAnsi="Arial"/>
          <w:b/>
          <w:color w:val="0D9488"/>
          <w:sz w:val="24"/>
        </w:rPr>
        <w:t>RESEARCH MONOGRAPH &amp; ENGINEERING SPECIFICATION</w:t>
      </w:r>
    </w:p>
    <w:p>
      <w:pPr>
        <w:spacing w:before="160" w:after="320"/>
        <w:jc w:val="center"/>
      </w:pPr>
      <w:r>
        <w:rPr>
          <w:rFonts w:ascii="Arial" w:hAnsi="Arial"/>
          <w:b/>
          <w:color w:val="1E3A8A"/>
          <w:sz w:val="44"/>
        </w:rPr>
        <w:t>Advanced Brain-Computer Interface (BCI) Companion Architecture for Mobile Media Streaming: A Dual-Tier Accessibility and MediaSession Protocol</w:t>
      </w:r>
    </w:p>
    <w:p>
      <w:pPr>
        <w:spacing w:before="0" w:after="600"/>
        <w:jc w:val="center"/>
      </w:pPr>
      <w:r>
        <w:rPr>
          <w:rFonts w:ascii="Calibri" w:hAnsi="Calibri"/>
          <w:i/>
          <w:color w:val="64748B"/>
          <w:sz w:val="25"/>
        </w:rPr>
        <w:t>Distributed Asynchronous MQTT Telemetry, Real-Time Operating System Integration, and Hardware-in-the-Loop Validation on JioSaavn Android</w:t>
      </w:r>
    </w:p>
    <w:tbl>
      <w:tblPr>
        <w:tblW w:type="auto" w:w="0"/>
        <w:jc w:val="center"/>
        <w:tblLayout w:type="fixed"/>
        <w:tblLook w:firstColumn="1" w:firstRow="1" w:lastColumn="0" w:lastRow="0" w:noHBand="0" w:noVBand="1" w:val="04A0"/>
      </w:tblPr>
      <w:tblGrid>
        <w:gridCol w:w="4680"/>
        <w:gridCol w:w="4680"/>
      </w:tblGrid>
      <w:tr>
        <w:tc>
          <w:tcPr>
            <w:tcW w:type="dxa" w:w="3168"/>
            <w:shd w:fill="1E3A8A"/>
            <w:tcMar>
              <w:top w:w="120" w:type="dxa"/>
              <w:bottom w:w="120" w:type="dxa"/>
              <w:left w:w="140" w:type="dxa"/>
              <w:right w:w="140" w:type="dxa"/>
            </w:tcMar>
          </w:tcPr>
          <w:p>
            <w:pPr>
              <w:spacing w:before="40" w:after="40"/>
              <w:jc w:val="center"/>
            </w:pPr>
            <w:r>
              <w:rPr>
                <w:rFonts w:ascii="Arial" w:hAnsi="Arial"/>
                <w:b/>
                <w:color w:val="FFFFFF"/>
                <w:sz w:val="19"/>
              </w:rPr>
              <w:t>PROJECT METADATA</w:t>
            </w:r>
          </w:p>
        </w:tc>
        <w:tc>
          <w:tcPr>
            <w:tcW w:type="dxa" w:w="6192"/>
            <w:shd w:fill="1E3A8A"/>
            <w:tcMar>
              <w:top w:w="120" w:type="dxa"/>
              <w:bottom w:w="120" w:type="dxa"/>
              <w:left w:w="140" w:type="dxa"/>
              <w:right w:w="140" w:type="dxa"/>
            </w:tcMar>
          </w:tcPr>
          <w:p>
            <w:pPr>
              <w:spacing w:before="40" w:after="40"/>
              <w:jc w:val="center"/>
            </w:pPr>
            <w:r>
              <w:rPr>
                <w:rFonts w:ascii="Arial" w:hAnsi="Arial"/>
                <w:b/>
                <w:color w:val="FFFFFF"/>
                <w:sz w:val="19"/>
              </w:rPr>
              <w:t>SPECIFICATION VALUES</w:t>
            </w:r>
          </w:p>
        </w:tc>
      </w:tr>
      <w:tr>
        <w:tc>
          <w:tcPr>
            <w:tcW w:type="dxa" w:w="3168"/>
            <w:shd w:fill="FFFFFF"/>
            <w:tcMar>
              <w:top w:w="100" w:type="dxa"/>
              <w:bottom w:w="100" w:type="dxa"/>
              <w:left w:w="130" w:type="dxa"/>
              <w:right w:w="130" w:type="dxa"/>
            </w:tcMar>
          </w:tcPr>
          <w:p>
            <w:pPr>
              <w:spacing w:before="40" w:after="40" w:line="252" w:lineRule="auto"/>
            </w:pPr>
            <w:r>
              <w:rPr>
                <w:rFonts w:ascii="Calibri" w:hAnsi="Calibri"/>
                <w:b/>
                <w:color w:val="1E293B"/>
                <w:sz w:val="18"/>
              </w:rPr>
              <w:t>Project Repositories</w:t>
            </w:r>
          </w:p>
        </w:tc>
        <w:tc>
          <w:tcPr>
            <w:tcW w:type="dxa" w:w="6192"/>
            <w:shd w:fill="FFFFFF"/>
            <w:tcMar>
              <w:top w:w="100" w:type="dxa"/>
              <w:bottom w:w="100" w:type="dxa"/>
              <w:left w:w="130" w:type="dxa"/>
              <w:right w:w="130" w:type="dxa"/>
            </w:tcMar>
          </w:tcPr>
          <w:p>
            <w:pPr>
              <w:spacing w:before="40" w:after="40" w:line="252" w:lineRule="auto"/>
            </w:pPr>
            <w:r>
              <w:rPr>
                <w:rFonts w:ascii="Calibri" w:hAnsi="Calibri"/>
                <w:color w:val="1E293B"/>
                <w:sz w:val="18"/>
              </w:rPr>
              <w:t>D:\GALATICX\BCI_remotecontroll_jiosaavn (Android Native)</w:t>
              <w:br/>
              <w:t>D:\GALATICX\masterhub_iot_noushith (MasterHub Core)</w:t>
            </w:r>
          </w:p>
        </w:tc>
      </w:tr>
      <w:tr>
        <w:tc>
          <w:tcPr>
            <w:tcW w:type="dxa" w:w="3168"/>
            <w:shd w:fill="F8FAFC"/>
            <w:tcMar>
              <w:top w:w="100" w:type="dxa"/>
              <w:bottom w:w="100" w:type="dxa"/>
              <w:left w:w="130" w:type="dxa"/>
              <w:right w:w="130" w:type="dxa"/>
            </w:tcMar>
          </w:tcPr>
          <w:p>
            <w:pPr>
              <w:spacing w:before="40" w:after="40" w:line="252" w:lineRule="auto"/>
            </w:pPr>
            <w:r>
              <w:rPr>
                <w:rFonts w:ascii="Calibri" w:hAnsi="Calibri"/>
                <w:b/>
                <w:color w:val="1E293B"/>
                <w:sz w:val="18"/>
              </w:rPr>
              <w:t>Target Application</w:t>
            </w:r>
          </w:p>
        </w:tc>
        <w:tc>
          <w:tcPr>
            <w:tcW w:type="dxa" w:w="6192"/>
            <w:shd w:fill="F8FAFC"/>
            <w:tcMar>
              <w:top w:w="100" w:type="dxa"/>
              <w:bottom w:w="100" w:type="dxa"/>
              <w:left w:w="130" w:type="dxa"/>
              <w:right w:w="130" w:type="dxa"/>
            </w:tcMar>
          </w:tcPr>
          <w:p>
            <w:pPr>
              <w:spacing w:before="40" w:after="40" w:line="252" w:lineRule="auto"/>
            </w:pPr>
            <w:r>
              <w:rPr>
                <w:rFonts w:ascii="Calibri" w:hAnsi="Calibri"/>
                <w:color w:val="1E293B"/>
                <w:sz w:val="18"/>
              </w:rPr>
              <w:t>JioSaavn Android (Package: com.jio.media.jiobeats)</w:t>
            </w:r>
          </w:p>
        </w:tc>
      </w:tr>
      <w:tr>
        <w:tc>
          <w:tcPr>
            <w:tcW w:type="dxa" w:w="3168"/>
            <w:shd w:fill="FFFFFF"/>
            <w:tcMar>
              <w:top w:w="100" w:type="dxa"/>
              <w:bottom w:w="100" w:type="dxa"/>
              <w:left w:w="130" w:type="dxa"/>
              <w:right w:w="130" w:type="dxa"/>
            </w:tcMar>
          </w:tcPr>
          <w:p>
            <w:pPr>
              <w:spacing w:before="40" w:after="40" w:line="252" w:lineRule="auto"/>
            </w:pPr>
            <w:r>
              <w:rPr>
                <w:rFonts w:ascii="Calibri" w:hAnsi="Calibri"/>
                <w:b/>
                <w:color w:val="1E293B"/>
                <w:sz w:val="18"/>
              </w:rPr>
              <w:t>Neural Hardware</w:t>
            </w:r>
          </w:p>
        </w:tc>
        <w:tc>
          <w:tcPr>
            <w:tcW w:type="dxa" w:w="6192"/>
            <w:shd w:fill="FFFFFF"/>
            <w:tcMar>
              <w:top w:w="100" w:type="dxa"/>
              <w:bottom w:w="100" w:type="dxa"/>
              <w:left w:w="130" w:type="dxa"/>
              <w:right w:w="130" w:type="dxa"/>
            </w:tcMar>
          </w:tcPr>
          <w:p>
            <w:pPr>
              <w:spacing w:before="40" w:after="40" w:line="252" w:lineRule="auto"/>
            </w:pPr>
            <w:r>
              <w:rPr>
                <w:rFonts w:ascii="Calibri" w:hAnsi="Calibri"/>
                <w:color w:val="1E293B"/>
                <w:sz w:val="18"/>
              </w:rPr>
              <w:t>14-Channel Emotiv EPOC X / Insight EEG via Cortex API</w:t>
            </w:r>
          </w:p>
        </w:tc>
      </w:tr>
      <w:tr>
        <w:tc>
          <w:tcPr>
            <w:tcW w:type="dxa" w:w="3168"/>
            <w:shd w:fill="F8FAFC"/>
            <w:tcMar>
              <w:top w:w="100" w:type="dxa"/>
              <w:bottom w:w="100" w:type="dxa"/>
              <w:left w:w="130" w:type="dxa"/>
              <w:right w:w="130" w:type="dxa"/>
            </w:tcMar>
          </w:tcPr>
          <w:p>
            <w:pPr>
              <w:spacing w:before="40" w:after="40" w:line="252" w:lineRule="auto"/>
            </w:pPr>
            <w:r>
              <w:rPr>
                <w:rFonts w:ascii="Calibri" w:hAnsi="Calibri"/>
                <w:b/>
                <w:color w:val="1E293B"/>
                <w:sz w:val="18"/>
              </w:rPr>
              <w:t>Protocol Standards</w:t>
            </w:r>
          </w:p>
        </w:tc>
        <w:tc>
          <w:tcPr>
            <w:tcW w:type="dxa" w:w="6192"/>
            <w:shd w:fill="F8FAFC"/>
            <w:tcMar>
              <w:top w:w="100" w:type="dxa"/>
              <w:bottom w:w="100" w:type="dxa"/>
              <w:left w:w="130" w:type="dxa"/>
              <w:right w:w="130" w:type="dxa"/>
            </w:tcMar>
          </w:tcPr>
          <w:p>
            <w:pPr>
              <w:spacing w:before="40" w:after="40" w:line="252" w:lineRule="auto"/>
            </w:pPr>
            <w:r>
              <w:rPr>
                <w:rFonts w:ascii="Calibri" w:hAnsi="Calibri"/>
                <w:color w:val="1E293B"/>
                <w:sz w:val="18"/>
              </w:rPr>
              <w:t>MasterHub / BCI Remote MQTT Protocol v1.0 (QoS 1, LWT)</w:t>
            </w:r>
          </w:p>
        </w:tc>
      </w:tr>
      <w:tr>
        <w:tc>
          <w:tcPr>
            <w:tcW w:type="dxa" w:w="3168"/>
            <w:shd w:fill="FFFFFF"/>
            <w:tcMar>
              <w:top w:w="100" w:type="dxa"/>
              <w:bottom w:w="100" w:type="dxa"/>
              <w:left w:w="130" w:type="dxa"/>
              <w:right w:w="130" w:type="dxa"/>
            </w:tcMar>
          </w:tcPr>
          <w:p>
            <w:pPr>
              <w:spacing w:before="40" w:after="40" w:line="252" w:lineRule="auto"/>
            </w:pPr>
            <w:r>
              <w:rPr>
                <w:rFonts w:ascii="Calibri" w:hAnsi="Calibri"/>
                <w:b/>
                <w:color w:val="1E293B"/>
                <w:sz w:val="18"/>
              </w:rPr>
              <w:t>Mobile OS Compatibility</w:t>
            </w:r>
          </w:p>
        </w:tc>
        <w:tc>
          <w:tcPr>
            <w:tcW w:type="dxa" w:w="6192"/>
            <w:shd w:fill="FFFFFF"/>
            <w:tcMar>
              <w:top w:w="100" w:type="dxa"/>
              <w:bottom w:w="100" w:type="dxa"/>
              <w:left w:w="130" w:type="dxa"/>
              <w:right w:w="130" w:type="dxa"/>
            </w:tcMar>
          </w:tcPr>
          <w:p>
            <w:pPr>
              <w:spacing w:before="40" w:after="40" w:line="252" w:lineRule="auto"/>
            </w:pPr>
            <w:r>
              <w:rPr>
                <w:rFonts w:ascii="Calibri" w:hAnsi="Calibri"/>
                <w:color w:val="1E293B"/>
                <w:sz w:val="18"/>
              </w:rPr>
              <w:t>Android 8.0 Oreo (API 26) through Android 15 (API 35)</w:t>
            </w:r>
          </w:p>
        </w:tc>
      </w:tr>
      <w:tr>
        <w:tc>
          <w:tcPr>
            <w:tcW w:type="dxa" w:w="3168"/>
            <w:shd w:fill="F8FAFC"/>
            <w:tcMar>
              <w:top w:w="100" w:type="dxa"/>
              <w:bottom w:w="100" w:type="dxa"/>
              <w:left w:w="130" w:type="dxa"/>
              <w:right w:w="130" w:type="dxa"/>
            </w:tcMar>
          </w:tcPr>
          <w:p>
            <w:pPr>
              <w:spacing w:before="40" w:after="40" w:line="252" w:lineRule="auto"/>
            </w:pPr>
            <w:r>
              <w:rPr>
                <w:rFonts w:ascii="Calibri" w:hAnsi="Calibri"/>
                <w:b/>
                <w:color w:val="1E293B"/>
                <w:sz w:val="18"/>
              </w:rPr>
              <w:t>Security &amp; Deployment</w:t>
            </w:r>
          </w:p>
        </w:tc>
        <w:tc>
          <w:tcPr>
            <w:tcW w:type="dxa" w:w="6192"/>
            <w:shd w:fill="F8FAFC"/>
            <w:tcMar>
              <w:top w:w="100" w:type="dxa"/>
              <w:bottom w:w="100" w:type="dxa"/>
              <w:left w:w="130" w:type="dxa"/>
              <w:right w:w="130" w:type="dxa"/>
            </w:tcMar>
          </w:tcPr>
          <w:p>
            <w:pPr>
              <w:spacing w:before="40" w:after="40" w:line="252" w:lineRule="auto"/>
            </w:pPr>
            <w:r>
              <w:rPr>
                <w:rFonts w:ascii="Calibri" w:hAnsi="Calibri"/>
                <w:color w:val="1E293B"/>
                <w:sz w:val="18"/>
              </w:rPr>
              <w:t>TLS 1.3 Encryption, Command UUID Expiration, At-Most-Once</w:t>
            </w:r>
          </w:p>
        </w:tc>
      </w:tr>
    </w:tbl>
    <w:p>
      <w:pPr>
        <w:spacing w:before="0" w:after="120"/>
      </w:pPr>
    </w:p>
    <w:p>
      <w:pPr>
        <w:spacing w:before="600" w:after="120"/>
      </w:pPr>
      <w:r>
        <w:rPr>
          <w:rFonts w:ascii="Arial" w:hAnsi="Arial"/>
          <w:b/>
          <w:color w:val="1E3A8A"/>
          <w:sz w:val="22"/>
        </w:rPr>
        <w:t>EXECUTIVE ABSTRACT</w:t>
        <w:br/>
      </w:r>
      <w:r>
        <w:rPr>
          <w:rFonts w:ascii="Calibri" w:hAnsi="Calibri"/>
          <w:color w:val="1E293B"/>
          <w:sz w:val="20"/>
        </w:rPr>
        <w:t>Non-invasive Brain-Computer Interfaces (BCIs) represent a transformative frontier in assistive cyber-physical systems, allowing individuals with severe motor impairments to exercise direct neurological control over ubiquitous consumer digital devices. However, integrating high-rate stochastic neural intent decoders with mobile operating systems presents severe architectural hurdles: draconian operating system background execution limits, process isolation sandboxes, volatile network interfaces, and unexposed application APIs. This research monograph details the end-to-end design, implementation, and empirical validation of a high-reliability, zero-decompilation BCI remote companion architecture for mobile media streaming. We present a dual-tier execution engine deployed as an Android foreground service (com.masterhub.bci) that bridges the MasterHub IoT neural processing hub with the commercial JioSaavn mobile streaming client (com.jio.media.jiobeats). By fusing native MediaSessionManager / MediaController IPC inspection with an AccessibilityService semantic node crawler, the system achieves sub-350ms deterministic command-to-acoustic latency, mathematical command deduplication, bounded observation state verification, and comprehensive fault-tolerant telemetry streaming over an authenticated MQTT message fabric. This document provides complete architectural topography, formal protocol specifications, operating system compliance analysis, empirical latency benchmarks, and a comprehensive hardware-in-the-loop acceptance test matrix.</w:t>
      </w:r>
    </w:p>
    <w:p>
      <w:r>
        <w:br w:type="page"/>
      </w:r>
    </w:p>
    <w:p>
      <w:pPr>
        <w:keepNext/>
        <w:spacing w:before="360" w:after="160"/>
      </w:pPr>
      <w:r>
        <w:rPr>
          <w:rFonts w:ascii="Arial" w:hAnsi="Arial"/>
          <w:b/>
          <w:color w:val="1E3A8A"/>
          <w:sz w:val="36"/>
        </w:rPr>
        <w:t>Chapter 1: Introduction, Problem Formulation &amp; Operational Objectives</w:t>
      </w:r>
    </w:p>
    <w:p>
      <w:pPr>
        <w:keepNext/>
        <w:spacing w:before="280" w:after="120"/>
      </w:pPr>
      <w:r>
        <w:rPr>
          <w:rFonts w:ascii="Arial" w:hAnsi="Arial"/>
          <w:b/>
          <w:color w:val="0D9488"/>
          <w:sz w:val="26"/>
        </w:rPr>
        <w:t>1.1 Background of Non-Invasive BCI Assistive Technologies</w:t>
      </w:r>
    </w:p>
    <w:p>
      <w:pPr>
        <w:spacing w:before="0" w:after="120" w:line="276" w:lineRule="auto"/>
        <w:jc w:val="both"/>
      </w:pPr>
      <w:r>
        <w:rPr>
          <w:rFonts w:ascii="Calibri" w:hAnsi="Calibri"/>
          <w:color w:val="1E293B"/>
          <w:sz w:val="21"/>
        </w:rPr>
        <w:t>Assistive technology systems driven by electroencephalographic (EEG) neural decoders have historically been confined to desktop computers or specialized embedded microcontrollers. In typical daily life, however, consumer multimedia consumption has shifted overwhelmingly to mobile smartphones and tablets running commercial operating systems like Android and iOS. For individuals experiencing amyotrophic lateral sclerosis (ALS), tetraplegia, muscular dystrophy, or severe spinal cord injuries, the inability to interact with tactile touchscreens creates a severe barrier to modern digital entertainment and communication platforms.</w:t>
      </w:r>
    </w:p>
    <w:p>
      <w:pPr>
        <w:spacing w:before="0" w:after="120" w:line="276" w:lineRule="auto"/>
        <w:jc w:val="both"/>
      </w:pPr>
      <w:r>
        <w:rPr>
          <w:rFonts w:ascii="Calibri" w:hAnsi="Calibri"/>
          <w:color w:val="1E293B"/>
          <w:sz w:val="21"/>
        </w:rPr>
        <w:t>Bridging this gap requires translating discrete mental gestures—such as motor imagery of limb movement, facial expressions, or cognitive commands—into deterministic control signals on consumer mobile applications. Within the GalaticX ecosystem, MasterHub functions as a central IoT automation and neural decoding gateway. Extending MasterHub's neural control paradigm to mobile streaming applications like JioSaavn demands an architecture that operates reliably without requiring rooted hardware, firmware modification, or unofficial application patches.</w:t>
      </w:r>
    </w:p>
    <w:p>
      <w:pPr>
        <w:keepNext/>
        <w:spacing w:before="280" w:after="120"/>
      </w:pPr>
      <w:r>
        <w:rPr>
          <w:rFonts w:ascii="Arial" w:hAnsi="Arial"/>
          <w:b/>
          <w:color w:val="0D9488"/>
          <w:sz w:val="26"/>
        </w:rPr>
        <w:t>1.2 The Closed Mobile Sandbox Challenge</w:t>
      </w:r>
    </w:p>
    <w:p>
      <w:pPr>
        <w:spacing w:before="0" w:after="120" w:line="276" w:lineRule="auto"/>
        <w:jc w:val="both"/>
      </w:pPr>
      <w:r>
        <w:rPr>
          <w:rFonts w:ascii="Calibri" w:hAnsi="Calibri"/>
          <w:color w:val="1E293B"/>
          <w:sz w:val="21"/>
        </w:rPr>
        <w:t>Mobile operating systems are intentionally engineered to isolate applications from one another through robust sandboxing mechanisms, strict inter-process communication (IPC) boundaries, and aggressive background battery management policies. Beginning with Android 8.0 (API 26) and culminating in Android 14 (API 34) and Android 15 (API 35), Google introduced architectural restrictions that directly challenge remote assistive automation:</w:t>
      </w:r>
    </w:p>
    <w:p>
      <w:pPr>
        <w:pStyle w:val="ListBullet"/>
        <w:spacing w:before="0" w:after="60" w:line="276" w:lineRule="auto"/>
      </w:pPr>
      <w:r>
        <w:rPr>
          <w:rFonts w:ascii="Calibri" w:hAnsi="Calibri"/>
          <w:b/>
          <w:color w:val="1E293B"/>
          <w:sz w:val="21"/>
        </w:rPr>
        <w:t xml:space="preserve">Background Execution Limits: </w:t>
      </w:r>
      <w:r>
        <w:rPr>
          <w:rFonts w:ascii="Calibri" w:hAnsi="Calibri"/>
          <w:color w:val="1E293B"/>
          <w:sz w:val="21"/>
        </w:rPr>
        <w:t>Services running in the background without an active user-visible foreground notification are rapidly throttled or outright terminated by the OS within minutes of screen timeout.</w:t>
      </w:r>
    </w:p>
    <w:p>
      <w:pPr>
        <w:pStyle w:val="ListBullet"/>
        <w:spacing w:before="0" w:after="60" w:line="276" w:lineRule="auto"/>
      </w:pPr>
      <w:r>
        <w:rPr>
          <w:rFonts w:ascii="Calibri" w:hAnsi="Calibri"/>
          <w:b/>
          <w:color w:val="1E293B"/>
          <w:sz w:val="21"/>
        </w:rPr>
        <w:t xml:space="preserve">Targeted Foreground Service Types: </w:t>
      </w:r>
      <w:r>
        <w:rPr>
          <w:rFonts w:ascii="Calibri" w:hAnsi="Calibri"/>
          <w:color w:val="1E293B"/>
          <w:sz w:val="21"/>
        </w:rPr>
        <w:t>Under Android 14+, declaring android.permission.FOREGROUND_SERVICE is no longer sufficient; services must declare specific operational subtypes (e.g., mediaPlayback, dataSync, or specialUse) with verifiable runtime justifications.</w:t>
      </w:r>
    </w:p>
    <w:p>
      <w:pPr>
        <w:pStyle w:val="ListBullet"/>
        <w:spacing w:before="0" w:after="60" w:line="276" w:lineRule="auto"/>
      </w:pPr>
      <w:r>
        <w:rPr>
          <w:rFonts w:ascii="Calibri" w:hAnsi="Calibri"/>
          <w:b/>
          <w:color w:val="1E293B"/>
          <w:sz w:val="21"/>
        </w:rPr>
        <w:t xml:space="preserve">Background Activity Launch Blocking: </w:t>
      </w:r>
      <w:r>
        <w:rPr>
          <w:rFonts w:ascii="Calibri" w:hAnsi="Calibri"/>
          <w:color w:val="1E293B"/>
          <w:sz w:val="21"/>
        </w:rPr>
        <w:t>Since Android 10 (API 29), background services are prohibited from launching activities to the foreground via Intent without explicit user interaction or specialized overlay permissions.</w:t>
      </w:r>
    </w:p>
    <w:p>
      <w:pPr>
        <w:pStyle w:val="ListBullet"/>
        <w:spacing w:before="0" w:after="60" w:line="276" w:lineRule="auto"/>
      </w:pPr>
      <w:r>
        <w:rPr>
          <w:rFonts w:ascii="Calibri" w:hAnsi="Calibri"/>
          <w:b/>
          <w:color w:val="1E293B"/>
          <w:sz w:val="21"/>
        </w:rPr>
        <w:t xml:space="preserve">Proprietary Transport Encapsulation: </w:t>
      </w:r>
      <w:r>
        <w:rPr>
          <w:rFonts w:ascii="Calibri" w:hAnsi="Calibri"/>
          <w:color w:val="1E293B"/>
          <w:sz w:val="21"/>
        </w:rPr>
        <w:t>Commercial media streaming apps, such as JioSaavn (com.jio.media.jiobeats), do not expose open broadcast receivers, public REST APIs, or local socket interfaces for external control.</w:t>
      </w:r>
    </w:p>
    <w:p>
      <w:pPr>
        <w:keepNext/>
        <w:spacing w:before="280" w:after="120"/>
      </w:pPr>
      <w:r>
        <w:rPr>
          <w:rFonts w:ascii="Arial" w:hAnsi="Arial"/>
          <w:b/>
          <w:color w:val="0D9488"/>
          <w:sz w:val="26"/>
        </w:rPr>
        <w:t>1.3 Core Engineering Objectives &amp; Dual Deliverable Mandate</w:t>
      </w:r>
    </w:p>
    <w:p>
      <w:pPr>
        <w:spacing w:before="0" w:after="120" w:line="276" w:lineRule="auto"/>
        <w:jc w:val="both"/>
      </w:pPr>
      <w:r>
        <w:rPr>
          <w:rFonts w:ascii="Calibri" w:hAnsi="Calibri"/>
          <w:color w:val="1E293B"/>
          <w:sz w:val="21"/>
        </w:rPr>
        <w:t>To resolve these operational constraints while preserving absolute security and stability, this research and implementation project establishes a strict dual-deliverable mandate:</w:t>
      </w:r>
    </w:p>
    <w:p>
      <w:pPr>
        <w:pStyle w:val="ListBullet"/>
        <w:spacing w:before="0" w:after="60" w:line="276" w:lineRule="auto"/>
      </w:pPr>
      <w:r>
        <w:rPr>
          <w:rFonts w:ascii="Calibri" w:hAnsi="Calibri"/>
          <w:b/>
          <w:color w:val="1E293B"/>
          <w:sz w:val="21"/>
        </w:rPr>
        <w:t xml:space="preserve">Part 1 — Native Android Companion Application (com.masterhub.bci): </w:t>
      </w:r>
      <w:r>
        <w:rPr>
          <w:rFonts w:ascii="Calibri" w:hAnsi="Calibri"/>
          <w:color w:val="1E293B"/>
          <w:sz w:val="21"/>
        </w:rPr>
        <w:t>An ultra-low-footprint, non-intrusive Android companion application developed in Kotlin. It operates continuously via an Android Foreground Service (specialUse) and leverages an enabled NotificationListenerService and an AccessibilityService to inspect active MediaSession tokens and interact with visible application nodes.</w:t>
      </w:r>
    </w:p>
    <w:p>
      <w:pPr>
        <w:pStyle w:val="ListBullet"/>
        <w:spacing w:before="0" w:after="60" w:line="276" w:lineRule="auto"/>
      </w:pPr>
      <w:r>
        <w:rPr>
          <w:rFonts w:ascii="Calibri" w:hAnsi="Calibri"/>
          <w:b/>
          <w:color w:val="1E293B"/>
          <w:sz w:val="21"/>
        </w:rPr>
        <w:t xml:space="preserve">Part 2 — MasterHub IoT Mobile MQTT Integration: </w:t>
      </w:r>
      <w:r>
        <w:rPr>
          <w:rFonts w:ascii="Calibri" w:hAnsi="Calibri"/>
          <w:color w:val="1E293B"/>
          <w:sz w:val="21"/>
        </w:rPr>
        <w:t>A high-concurrency, asynchronous Python service running within the MasterHub core framework that intercepts neural BCI events and dashboard interactions, encapsulates them in a formal timestamped, correlated MQTT protocol envelope, and manages bi-directional telemetry.</w:t>
      </w:r>
    </w:p>
    <w:tbl>
      <w:tblPr>
        <w:tblW w:type="auto" w:w="0"/>
        <w:jc w:val="center"/>
        <w:tblLayout w:type="fixed"/>
        <w:tblLook w:firstColumn="1" w:firstRow="1" w:lastColumn="0" w:lastRow="0" w:noHBand="0" w:noVBand="1" w:val="04A0"/>
      </w:tblPr>
      <w:tblGrid>
        <w:gridCol w:w="9360"/>
      </w:tblGrid>
      <w:tr>
        <w:tc>
          <w:tcPr>
            <w:tcW w:type="dxa" w:w="9360"/>
            <w:shd w:fill="FEFCE8"/>
            <w:tcBorders>
              <w:left w:val="single" w:sz="36" w:space="0" w:color="CA8A04"/>
              <w:top w:val="none"/>
              <w:right w:val="none"/>
              <w:bottom w:val="none"/>
            </w:tcBorders>
            <w:tcMar>
              <w:top w:w="140" w:type="dxa"/>
              <w:bottom w:w="140" w:type="dxa"/>
              <w:left w:w="200" w:type="dxa"/>
              <w:right w:w="180" w:type="dxa"/>
            </w:tcMar>
          </w:tcPr>
          <w:p>
            <w:pPr>
              <w:spacing w:before="40" w:after="80"/>
            </w:pPr>
            <w:r>
              <w:rPr>
                <w:rFonts w:ascii="Arial" w:hAnsi="Arial"/>
                <w:b/>
                <w:color w:val="854D0E"/>
                <w:sz w:val="20"/>
              </w:rPr>
              <w:t>✦  DUAL-DELIVERABLE ARCHITECTURE MANDATE</w:t>
              <w:br/>
            </w:r>
            <w:r>
              <w:rPr>
                <w:rFonts w:ascii="Calibri" w:hAnsi="Calibri"/>
                <w:color w:val="334155"/>
                <w:sz w:val="19"/>
              </w:rPr>
              <w:t>Under no circumstances should the Android companion or MasterHub attempt to emulate keyboard drivers or emit untargeted global media key events (KEYCODE_MEDIA_NEXT). Unscoped global key events cause catastrophic state pollution when third-party media players (YouTube, Spotify, or System Sounds) are simultaneously installed on the phone. All interactions must be strictly bound to com.jio.media.jiobeats.</w:t>
            </w:r>
          </w:p>
        </w:tc>
      </w:tr>
    </w:tbl>
    <w:p>
      <w:pPr>
        <w:spacing w:before="0" w:after="120"/>
      </w:pPr>
    </w:p>
    <w:p>
      <w:r>
        <w:br w:type="page"/>
      </w:r>
    </w:p>
    <w:p>
      <w:pPr>
        <w:keepNext/>
        <w:spacing w:before="360" w:after="160"/>
      </w:pPr>
      <w:r>
        <w:rPr>
          <w:rFonts w:ascii="Arial" w:hAnsi="Arial"/>
          <w:b/>
          <w:color w:val="1E3A8A"/>
          <w:sz w:val="36"/>
        </w:rPr>
        <w:t>Chapter 2: Neural Signal Acquisition &amp; BCI Gesture Decoding Pipeline</w:t>
      </w:r>
    </w:p>
    <w:p>
      <w:pPr>
        <w:keepNext/>
        <w:spacing w:before="280" w:after="120"/>
      </w:pPr>
      <w:r>
        <w:rPr>
          <w:rFonts w:ascii="Arial" w:hAnsi="Arial"/>
          <w:b/>
          <w:color w:val="0D9488"/>
          <w:sz w:val="26"/>
        </w:rPr>
        <w:t>2.1 Electroencephalography (EEG) Signal Topography</w:t>
      </w:r>
    </w:p>
    <w:p>
      <w:pPr>
        <w:spacing w:before="0" w:after="120" w:line="276" w:lineRule="auto"/>
        <w:jc w:val="both"/>
      </w:pPr>
      <w:r>
        <w:rPr>
          <w:rFonts w:ascii="Calibri" w:hAnsi="Calibri"/>
          <w:color w:val="1E293B"/>
          <w:sz w:val="21"/>
        </w:rPr>
        <w:t>The neural telemetry pipeline utilizes an Emotiv EPOC X or Emotiv Insight wireless EEG headset configured to stream multi-channel raw voltage potentials. The sensor array covers key frontal, temporal, parietal, and occipital lobes based on the standard 10-20 international electrode placement system (AF3, F7, F3, FC5, T7, P7, O1, O2, P8, T8, FC6, F4, F8, AF4). Raw signals are sampled at 128 Hz or 256 Hz with 14-bit or 16-bit analog-to-digital resolution and transmitted over Bluetooth Low Energy (BLE 5.0) to the MasterHub gateway machine.</w:t>
      </w:r>
    </w:p>
    <w:p>
      <w:pPr>
        <w:spacing w:before="160" w:after="80"/>
        <w:jc w:val="center"/>
      </w:pPr>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bci_signal_pipeline.png"/>
                    <pic:cNvPicPr/>
                  </pic:nvPicPr>
                  <pic:blipFill>
                    <a:blip r:embed="rId11"/>
                    <a:stretch>
                      <a:fillRect/>
                    </a:stretch>
                  </pic:blipFill>
                  <pic:spPr>
                    <a:xfrm>
                      <a:off x="0" y="0"/>
                      <a:ext cx="5669280" cy="2125980"/>
                    </a:xfrm>
                    <a:prstGeom prst="rect"/>
                  </pic:spPr>
                </pic:pic>
              </a:graphicData>
            </a:graphic>
          </wp:inline>
        </w:drawing>
      </w:r>
    </w:p>
    <w:p>
      <w:pPr>
        <w:spacing w:before="40" w:after="240"/>
        <w:jc w:val="center"/>
      </w:pPr>
      <w:r>
        <w:rPr>
          <w:rFonts w:ascii="Calibri" w:hAnsi="Calibri"/>
          <w:b/>
          <w:i/>
          <w:color w:val="475569"/>
          <w:sz w:val="18"/>
        </w:rPr>
        <w:t>Figure 1: End-to-End Neural Signal Processing &amp; Mental Command Decoding Pipeline.</w:t>
      </w:r>
    </w:p>
    <w:p>
      <w:pPr>
        <w:keepNext/>
        <w:spacing w:before="280" w:after="120"/>
      </w:pPr>
      <w:r>
        <w:rPr>
          <w:rFonts w:ascii="Arial" w:hAnsi="Arial"/>
          <w:b/>
          <w:color w:val="0D9488"/>
          <w:sz w:val="26"/>
        </w:rPr>
        <w:t>2.2 Signal Conditioning, Preprocessing &amp; Artifact Filtering</w:t>
      </w:r>
    </w:p>
    <w:p>
      <w:pPr>
        <w:spacing w:before="0" w:after="120" w:line="276" w:lineRule="auto"/>
        <w:jc w:val="both"/>
      </w:pPr>
      <w:r>
        <w:rPr>
          <w:rFonts w:ascii="Calibri" w:hAnsi="Calibri"/>
          <w:color w:val="1E293B"/>
          <w:sz w:val="21"/>
        </w:rPr>
        <w:t>Bio-potential signals recorded from the scalp suffer from significant noise, including ocular artifacts (blinks, saccades), electromyographic (EMG) muscle tension from the jaw and neck, and 50/60 Hz alternating current powerline interference. The MasterHub input processor executes a rigorous four-stage conditioning pipeline:</w:t>
      </w:r>
    </w:p>
    <w:p>
      <w:pPr>
        <w:pStyle w:val="ListBullet"/>
        <w:spacing w:before="0" w:after="60" w:line="276" w:lineRule="auto"/>
      </w:pPr>
      <w:r>
        <w:rPr>
          <w:rFonts w:ascii="Calibri" w:hAnsi="Calibri"/>
          <w:b/>
          <w:color w:val="1E293B"/>
          <w:sz w:val="21"/>
        </w:rPr>
        <w:t xml:space="preserve">Notch Filtering: </w:t>
      </w:r>
      <w:r>
        <w:rPr>
          <w:rFonts w:ascii="Calibri" w:hAnsi="Calibri"/>
          <w:color w:val="1E293B"/>
          <w:sz w:val="21"/>
        </w:rPr>
        <w:t>A 50 Hz / 60 Hz infinite impulse response (IIR) notch filter with high Q-factor (Q = 30) attenuates ambient power grid induction.</w:t>
      </w:r>
    </w:p>
    <w:p>
      <w:pPr>
        <w:pStyle w:val="ListBullet"/>
        <w:spacing w:before="0" w:after="60" w:line="276" w:lineRule="auto"/>
      </w:pPr>
      <w:r>
        <w:rPr>
          <w:rFonts w:ascii="Calibri" w:hAnsi="Calibri"/>
          <w:b/>
          <w:color w:val="1E293B"/>
          <w:sz w:val="21"/>
        </w:rPr>
        <w:t xml:space="preserve">Bandpass Filtering: </w:t>
      </w:r>
      <w:r>
        <w:rPr>
          <w:rFonts w:ascii="Calibri" w:hAnsi="Calibri"/>
          <w:color w:val="1E293B"/>
          <w:sz w:val="21"/>
        </w:rPr>
        <w:t>A 4th-order Butterworth bandpass filter restricting frequencies to 0.5 Hz – 45.0 Hz isolates the neurophysiologically relevant Delta (0.5–4 Hz), Theta (4–8 Hz), Alpha (8–13 Hz), Beta (13–30 Hz), and low Gamma (30–45 Hz) bands.</w:t>
      </w:r>
    </w:p>
    <w:p>
      <w:pPr>
        <w:pStyle w:val="ListBullet"/>
        <w:spacing w:before="0" w:after="60" w:line="276" w:lineRule="auto"/>
      </w:pPr>
      <w:r>
        <w:rPr>
          <w:rFonts w:ascii="Calibri" w:hAnsi="Calibri"/>
          <w:b/>
          <w:color w:val="1E293B"/>
          <w:sz w:val="21"/>
        </w:rPr>
        <w:t xml:space="preserve">Wavelet Denoising: </w:t>
      </w:r>
      <w:r>
        <w:rPr>
          <w:rFonts w:ascii="Calibri" w:hAnsi="Calibri"/>
          <w:color w:val="1E293B"/>
          <w:sz w:val="21"/>
        </w:rPr>
        <w:t>Discrete Wavelet Transform (DWT) utilizing Daubechies 4 (db4) wavelets decomposes the signal across 5 levels, thresholding detail coefficients to eliminate high-amplitude blink spikes without phase distortion.</w:t>
      </w:r>
    </w:p>
    <w:p>
      <w:pPr>
        <w:pStyle w:val="ListBullet"/>
        <w:spacing w:before="0" w:after="60" w:line="276" w:lineRule="auto"/>
      </w:pPr>
      <w:r>
        <w:rPr>
          <w:rFonts w:ascii="Calibri" w:hAnsi="Calibri"/>
          <w:b/>
          <w:color w:val="1E293B"/>
          <w:sz w:val="21"/>
        </w:rPr>
        <w:t xml:space="preserve">Spatial Filtering: </w:t>
      </w:r>
      <w:r>
        <w:rPr>
          <w:rFonts w:ascii="Calibri" w:hAnsi="Calibri"/>
          <w:color w:val="1E293B"/>
          <w:sz w:val="21"/>
        </w:rPr>
        <w:t>Common Spatial Patterns (CSP) maximize the variance between target motor imagery classes and background baseline rhythms.</w:t>
      </w:r>
    </w:p>
    <w:p>
      <w:pPr>
        <w:keepNext/>
        <w:spacing w:before="280" w:after="120"/>
      </w:pPr>
      <w:r>
        <w:rPr>
          <w:rFonts w:ascii="Arial" w:hAnsi="Arial"/>
          <w:b/>
          <w:color w:val="0D9488"/>
          <w:sz w:val="26"/>
        </w:rPr>
        <w:t>2.3 Mental Command Classification &amp; Gesture Mapping</w:t>
      </w:r>
    </w:p>
    <w:p>
      <w:pPr>
        <w:spacing w:before="0" w:after="120" w:line="276" w:lineRule="auto"/>
        <w:jc w:val="both"/>
      </w:pPr>
      <w:r>
        <w:rPr>
          <w:rFonts w:ascii="Calibri" w:hAnsi="Calibri"/>
          <w:color w:val="1E293B"/>
          <w:sz w:val="21"/>
        </w:rPr>
        <w:t>Preprocessed feature vectors are streamed into the Emotiv Cortex API / BrainFlow machine learning runtime. The classifier evaluates mental commands (cognitive intent) and facial gestures in real time, assigning a normalized confidence score C in [0.0, 1.0]. To ensure user safety and prevent accidental triggers during cognitive fatigue, MasterHub enforces strict confidence thresholding (C &gt;= 0.70) and debouncing periods (350 ms lockout). Table 2.1 documents the exact BCI gesture-to-action routing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120" w:type="dxa"/>
              <w:bottom w:w="120" w:type="dxa"/>
              <w:left w:w="140" w:type="dxa"/>
              <w:right w:w="140" w:type="dxa"/>
            </w:tcMar>
          </w:tcPr>
          <w:p>
            <w:pPr>
              <w:spacing w:before="40" w:after="40"/>
              <w:jc w:val="center"/>
            </w:pPr>
            <w:r>
              <w:rPr>
                <w:rFonts w:ascii="Arial" w:hAnsi="Arial"/>
                <w:b/>
                <w:color w:val="FFFFFF"/>
                <w:sz w:val="19"/>
              </w:rPr>
              <w:t>BCI Mental Gesture</w:t>
            </w:r>
          </w:p>
        </w:tc>
        <w:tc>
          <w:tcPr>
            <w:tcW w:type="dxa" w:w="2016"/>
            <w:shd w:fill="1E3A8A"/>
            <w:tcMar>
              <w:top w:w="120" w:type="dxa"/>
              <w:bottom w:w="120" w:type="dxa"/>
              <w:left w:w="140" w:type="dxa"/>
              <w:right w:w="140" w:type="dxa"/>
            </w:tcMar>
          </w:tcPr>
          <w:p>
            <w:pPr>
              <w:spacing w:before="40" w:after="40"/>
              <w:jc w:val="center"/>
            </w:pPr>
            <w:r>
              <w:rPr>
                <w:rFonts w:ascii="Arial" w:hAnsi="Arial"/>
                <w:b/>
                <w:color w:val="FFFFFF"/>
                <w:sz w:val="19"/>
              </w:rPr>
              <w:t>MasterHub Mode Context</w:t>
            </w:r>
          </w:p>
        </w:tc>
        <w:tc>
          <w:tcPr>
            <w:tcW w:type="dxa" w:w="2016"/>
            <w:shd w:fill="1E3A8A"/>
            <w:tcMar>
              <w:top w:w="120" w:type="dxa"/>
              <w:bottom w:w="120" w:type="dxa"/>
              <w:left w:w="140" w:type="dxa"/>
              <w:right w:w="140" w:type="dxa"/>
            </w:tcMar>
          </w:tcPr>
          <w:p>
            <w:pPr>
              <w:spacing w:before="40" w:after="40"/>
              <w:jc w:val="center"/>
            </w:pPr>
            <w:r>
              <w:rPr>
                <w:rFonts w:ascii="Arial" w:hAnsi="Arial"/>
                <w:b/>
                <w:color w:val="FFFFFF"/>
                <w:sz w:val="19"/>
              </w:rPr>
              <w:t>Internal Action Name</w:t>
            </w:r>
          </w:p>
        </w:tc>
        <w:tc>
          <w:tcPr>
            <w:tcW w:type="dxa" w:w="2016"/>
            <w:shd w:fill="1E3A8A"/>
            <w:tcMar>
              <w:top w:w="120" w:type="dxa"/>
              <w:bottom w:w="120" w:type="dxa"/>
              <w:left w:w="140" w:type="dxa"/>
              <w:right w:w="140" w:type="dxa"/>
            </w:tcMar>
          </w:tcPr>
          <w:p>
            <w:pPr>
              <w:spacing w:before="40" w:after="40"/>
              <w:jc w:val="center"/>
            </w:pPr>
            <w:r>
              <w:rPr>
                <w:rFonts w:ascii="Arial" w:hAnsi="Arial"/>
                <w:b/>
                <w:color w:val="FFFFFF"/>
                <w:sz w:val="19"/>
              </w:rPr>
              <w:t>Dispatched MQTT Command</w:t>
            </w:r>
          </w:p>
        </w:tc>
        <w:tc>
          <w:tcPr>
            <w:tcW w:type="dxa" w:w="1440"/>
            <w:shd w:fill="1E3A8A"/>
            <w:tcMar>
              <w:top w:w="120" w:type="dxa"/>
              <w:bottom w:w="120" w:type="dxa"/>
              <w:left w:w="140" w:type="dxa"/>
              <w:right w:w="140" w:type="dxa"/>
            </w:tcMar>
          </w:tcPr>
          <w:p>
            <w:pPr>
              <w:spacing w:before="40" w:after="40"/>
              <w:jc w:val="center"/>
            </w:pPr>
            <w:r>
              <w:rPr>
                <w:rFonts w:ascii="Arial" w:hAnsi="Arial"/>
                <w:b/>
                <w:color w:val="FFFFFF"/>
                <w:sz w:val="19"/>
              </w:rPr>
              <w:t>Confidence Req.</w:t>
            </w:r>
          </w:p>
        </w:tc>
      </w:tr>
      <w:tr>
        <w:tc>
          <w:tcPr>
            <w:tcW w:type="dxa" w:w="1872"/>
            <w:shd w:fill="FFFFFF"/>
            <w:tcMar>
              <w:top w:w="100" w:type="dxa"/>
              <w:bottom w:w="100" w:type="dxa"/>
              <w:left w:w="130" w:type="dxa"/>
              <w:right w:w="130" w:type="dxa"/>
            </w:tcMar>
          </w:tcPr>
          <w:p>
            <w:pPr>
              <w:spacing w:before="40" w:after="40" w:line="252" w:lineRule="auto"/>
            </w:pPr>
            <w:r>
              <w:rPr>
                <w:rFonts w:ascii="Calibri" w:hAnsi="Calibri"/>
                <w:b/>
                <w:color w:val="1E293B"/>
                <w:sz w:val="18"/>
              </w:rPr>
              <w:t>Push</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MOBILE_JIOSAAVN_MODE</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mobile_jiosaavn_play_pause</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Right_Play_Pause</w:t>
            </w:r>
          </w:p>
        </w:tc>
        <w:tc>
          <w:tcPr>
            <w:tcW w:type="dxa" w:w="1440"/>
            <w:shd w:fill="FFFFFF"/>
            <w:tcMar>
              <w:top w:w="100" w:type="dxa"/>
              <w:bottom w:w="100" w:type="dxa"/>
              <w:left w:w="130" w:type="dxa"/>
              <w:right w:w="130" w:type="dxa"/>
            </w:tcMar>
          </w:tcPr>
          <w:p>
            <w:pPr>
              <w:spacing w:before="40" w:after="40" w:line="252" w:lineRule="auto"/>
            </w:pPr>
            <w:r>
              <w:rPr>
                <w:rFonts w:ascii="Calibri" w:hAnsi="Calibri"/>
                <w:color w:val="1E293B"/>
                <w:sz w:val="18"/>
              </w:rPr>
              <w:t>C &gt;= 0.75</w:t>
            </w:r>
          </w:p>
        </w:tc>
      </w:tr>
      <w:tr>
        <w:tc>
          <w:tcPr>
            <w:tcW w:type="dxa" w:w="1872"/>
            <w:shd w:fill="F8FAFC"/>
            <w:tcMar>
              <w:top w:w="100" w:type="dxa"/>
              <w:bottom w:w="100" w:type="dxa"/>
              <w:left w:w="130" w:type="dxa"/>
              <w:right w:w="130" w:type="dxa"/>
            </w:tcMar>
          </w:tcPr>
          <w:p>
            <w:pPr>
              <w:spacing w:before="40" w:after="40" w:line="252" w:lineRule="auto"/>
            </w:pPr>
            <w:r>
              <w:rPr>
                <w:rFonts w:ascii="Calibri" w:hAnsi="Calibri"/>
                <w:b/>
                <w:color w:val="1E293B"/>
                <w:sz w:val="18"/>
              </w:rPr>
              <w:t>Right</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MOBILE_JIOSAAVN_MODE</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mobile_jiosaavn_next</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Right_Next_Song</w:t>
            </w:r>
          </w:p>
        </w:tc>
        <w:tc>
          <w:tcPr>
            <w:tcW w:type="dxa" w:w="1440"/>
            <w:shd w:fill="F8FAFC"/>
            <w:tcMar>
              <w:top w:w="100" w:type="dxa"/>
              <w:bottom w:w="100" w:type="dxa"/>
              <w:left w:w="130" w:type="dxa"/>
              <w:right w:w="130" w:type="dxa"/>
            </w:tcMar>
          </w:tcPr>
          <w:p>
            <w:pPr>
              <w:spacing w:before="40" w:after="40" w:line="252" w:lineRule="auto"/>
            </w:pPr>
            <w:r>
              <w:rPr>
                <w:rFonts w:ascii="Calibri" w:hAnsi="Calibri"/>
                <w:color w:val="1E293B"/>
                <w:sz w:val="18"/>
              </w:rPr>
              <w:t>C &gt;= 0.70</w:t>
            </w:r>
          </w:p>
        </w:tc>
      </w:tr>
      <w:tr>
        <w:tc>
          <w:tcPr>
            <w:tcW w:type="dxa" w:w="1872"/>
            <w:shd w:fill="FFFFFF"/>
            <w:tcMar>
              <w:top w:w="100" w:type="dxa"/>
              <w:bottom w:w="100" w:type="dxa"/>
              <w:left w:w="130" w:type="dxa"/>
              <w:right w:w="130" w:type="dxa"/>
            </w:tcMar>
          </w:tcPr>
          <w:p>
            <w:pPr>
              <w:spacing w:before="40" w:after="40" w:line="252" w:lineRule="auto"/>
            </w:pPr>
            <w:r>
              <w:rPr>
                <w:rFonts w:ascii="Calibri" w:hAnsi="Calibri"/>
                <w:b/>
                <w:color w:val="1E293B"/>
                <w:sz w:val="18"/>
              </w:rPr>
              <w:t>Left</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MOBILE_JIOSAAVN_MODE</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mobile_jiosaavn_previous</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Right_Previous_Song</w:t>
            </w:r>
          </w:p>
        </w:tc>
        <w:tc>
          <w:tcPr>
            <w:tcW w:type="dxa" w:w="1440"/>
            <w:shd w:fill="FFFFFF"/>
            <w:tcMar>
              <w:top w:w="100" w:type="dxa"/>
              <w:bottom w:w="100" w:type="dxa"/>
              <w:left w:w="130" w:type="dxa"/>
              <w:right w:w="130" w:type="dxa"/>
            </w:tcMar>
          </w:tcPr>
          <w:p>
            <w:pPr>
              <w:spacing w:before="40" w:after="40" w:line="252" w:lineRule="auto"/>
            </w:pPr>
            <w:r>
              <w:rPr>
                <w:rFonts w:ascii="Calibri" w:hAnsi="Calibri"/>
                <w:color w:val="1E293B"/>
                <w:sz w:val="18"/>
              </w:rPr>
              <w:t>C &gt;= 0.70</w:t>
            </w:r>
          </w:p>
        </w:tc>
      </w:tr>
      <w:tr>
        <w:tc>
          <w:tcPr>
            <w:tcW w:type="dxa" w:w="1872"/>
            <w:shd w:fill="F8FAFC"/>
            <w:tcMar>
              <w:top w:w="100" w:type="dxa"/>
              <w:bottom w:w="100" w:type="dxa"/>
              <w:left w:w="130" w:type="dxa"/>
              <w:right w:w="130" w:type="dxa"/>
            </w:tcMar>
          </w:tcPr>
          <w:p>
            <w:pPr>
              <w:spacing w:before="40" w:after="40" w:line="252" w:lineRule="auto"/>
            </w:pPr>
            <w:r>
              <w:rPr>
                <w:rFonts w:ascii="Calibri" w:hAnsi="Calibri"/>
                <w:b/>
                <w:color w:val="1E293B"/>
                <w:sz w:val="18"/>
              </w:rPr>
              <w:t>Pull</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MOBILE_JIOSAAVN_MODE</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mobile_jiosaavn_home</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Right_Return_to_Home</w:t>
            </w:r>
          </w:p>
        </w:tc>
        <w:tc>
          <w:tcPr>
            <w:tcW w:type="dxa" w:w="1440"/>
            <w:shd w:fill="F8FAFC"/>
            <w:tcMar>
              <w:top w:w="100" w:type="dxa"/>
              <w:bottom w:w="100" w:type="dxa"/>
              <w:left w:w="130" w:type="dxa"/>
              <w:right w:w="130" w:type="dxa"/>
            </w:tcMar>
          </w:tcPr>
          <w:p>
            <w:pPr>
              <w:spacing w:before="40" w:after="40" w:line="252" w:lineRule="auto"/>
            </w:pPr>
            <w:r>
              <w:rPr>
                <w:rFonts w:ascii="Calibri" w:hAnsi="Calibri"/>
                <w:color w:val="1E293B"/>
                <w:sz w:val="18"/>
              </w:rPr>
              <w:t>C &gt;= 0.80</w:t>
            </w:r>
          </w:p>
        </w:tc>
      </w:tr>
      <w:tr>
        <w:tc>
          <w:tcPr>
            <w:tcW w:type="dxa" w:w="1872"/>
            <w:shd w:fill="FFFFFF"/>
            <w:tcMar>
              <w:top w:w="100" w:type="dxa"/>
              <w:bottom w:w="100" w:type="dxa"/>
              <w:left w:w="130" w:type="dxa"/>
              <w:right w:w="130" w:type="dxa"/>
            </w:tcMar>
          </w:tcPr>
          <w:p>
            <w:pPr>
              <w:spacing w:before="40" w:after="40" w:line="252" w:lineRule="auto"/>
            </w:pPr>
            <w:r>
              <w:rPr>
                <w:rFonts w:ascii="Calibri" w:hAnsi="Calibri"/>
                <w:b/>
                <w:color w:val="1E293B"/>
                <w:sz w:val="18"/>
              </w:rPr>
              <w:t>Right + Push</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MOBILE_JIOSAAVN_MODE</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mobile_jiosaavn_volume_up</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Right_Volume_Up</w:t>
            </w:r>
          </w:p>
        </w:tc>
        <w:tc>
          <w:tcPr>
            <w:tcW w:type="dxa" w:w="1440"/>
            <w:shd w:fill="FFFFFF"/>
            <w:tcMar>
              <w:top w:w="100" w:type="dxa"/>
              <w:bottom w:w="100" w:type="dxa"/>
              <w:left w:w="130" w:type="dxa"/>
              <w:right w:w="130" w:type="dxa"/>
            </w:tcMar>
          </w:tcPr>
          <w:p>
            <w:pPr>
              <w:spacing w:before="40" w:after="40" w:line="252" w:lineRule="auto"/>
            </w:pPr>
            <w:r>
              <w:rPr>
                <w:rFonts w:ascii="Calibri" w:hAnsi="Calibri"/>
                <w:color w:val="1E293B"/>
                <w:sz w:val="18"/>
              </w:rPr>
              <w:t>C &gt;= 0.75</w:t>
            </w:r>
          </w:p>
        </w:tc>
      </w:tr>
      <w:tr>
        <w:tc>
          <w:tcPr>
            <w:tcW w:type="dxa" w:w="1872"/>
            <w:shd w:fill="F8FAFC"/>
            <w:tcMar>
              <w:top w:w="100" w:type="dxa"/>
              <w:bottom w:w="100" w:type="dxa"/>
              <w:left w:w="130" w:type="dxa"/>
              <w:right w:w="130" w:type="dxa"/>
            </w:tcMar>
          </w:tcPr>
          <w:p>
            <w:pPr>
              <w:spacing w:before="40" w:after="40" w:line="252" w:lineRule="auto"/>
            </w:pPr>
            <w:r>
              <w:rPr>
                <w:rFonts w:ascii="Calibri" w:hAnsi="Calibri"/>
                <w:b/>
                <w:color w:val="1E293B"/>
                <w:sz w:val="18"/>
              </w:rPr>
              <w:t>Right + Pull</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MOBILE_JIOSAAVN_MODE</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mobile_jiosaavn_volume_down</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Right_Volume_Down</w:t>
            </w:r>
          </w:p>
        </w:tc>
        <w:tc>
          <w:tcPr>
            <w:tcW w:type="dxa" w:w="1440"/>
            <w:shd w:fill="F8FAFC"/>
            <w:tcMar>
              <w:top w:w="100" w:type="dxa"/>
              <w:bottom w:w="100" w:type="dxa"/>
              <w:left w:w="130" w:type="dxa"/>
              <w:right w:w="130" w:type="dxa"/>
            </w:tcMar>
          </w:tcPr>
          <w:p>
            <w:pPr>
              <w:spacing w:before="40" w:after="40" w:line="252" w:lineRule="auto"/>
            </w:pPr>
            <w:r>
              <w:rPr>
                <w:rFonts w:ascii="Calibri" w:hAnsi="Calibri"/>
                <w:color w:val="1E293B"/>
                <w:sz w:val="18"/>
              </w:rPr>
              <w:t>C &gt;= 0.75</w:t>
            </w:r>
          </w:p>
        </w:tc>
      </w:tr>
      <w:tr>
        <w:tc>
          <w:tcPr>
            <w:tcW w:type="dxa" w:w="1872"/>
            <w:shd w:fill="FFFFFF"/>
            <w:tcMar>
              <w:top w:w="100" w:type="dxa"/>
              <w:bottom w:w="100" w:type="dxa"/>
              <w:left w:w="130" w:type="dxa"/>
              <w:right w:w="130" w:type="dxa"/>
            </w:tcMar>
          </w:tcPr>
          <w:p>
            <w:pPr>
              <w:spacing w:before="40" w:after="40" w:line="252" w:lineRule="auto"/>
            </w:pPr>
            <w:r>
              <w:rPr>
                <w:rFonts w:ascii="Calibri" w:hAnsi="Calibri"/>
                <w:b/>
                <w:color w:val="1E293B"/>
                <w:sz w:val="18"/>
              </w:rPr>
              <w:t>Push + Right</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MOBILE_JIOSAAVN_MODE</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mode_media (Back)</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LOCAL_ROUTING_ONLY</w:t>
            </w:r>
          </w:p>
        </w:tc>
        <w:tc>
          <w:tcPr>
            <w:tcW w:type="dxa" w:w="1440"/>
            <w:shd w:fill="FFFFFF"/>
            <w:tcMar>
              <w:top w:w="100" w:type="dxa"/>
              <w:bottom w:w="100" w:type="dxa"/>
              <w:left w:w="130" w:type="dxa"/>
              <w:right w:w="130" w:type="dxa"/>
            </w:tcMar>
          </w:tcPr>
          <w:p>
            <w:pPr>
              <w:spacing w:before="40" w:after="40" w:line="252" w:lineRule="auto"/>
            </w:pPr>
            <w:r>
              <w:rPr>
                <w:rFonts w:ascii="Calibri" w:hAnsi="Calibri"/>
                <w:color w:val="1E293B"/>
                <w:sz w:val="18"/>
              </w:rPr>
              <w:t>C &gt;= 0.85</w:t>
            </w:r>
          </w:p>
        </w:tc>
      </w:tr>
      <w:tr>
        <w:tc>
          <w:tcPr>
            <w:tcW w:type="dxa" w:w="1872"/>
            <w:shd w:fill="F8FAFC"/>
            <w:tcMar>
              <w:top w:w="100" w:type="dxa"/>
              <w:bottom w:w="100" w:type="dxa"/>
              <w:left w:w="130" w:type="dxa"/>
              <w:right w:w="130" w:type="dxa"/>
            </w:tcMar>
          </w:tcPr>
          <w:p>
            <w:pPr>
              <w:spacing w:before="40" w:after="40" w:line="252" w:lineRule="auto"/>
            </w:pPr>
            <w:r>
              <w:rPr>
                <w:rFonts w:ascii="Calibri" w:hAnsi="Calibri"/>
                <w:b/>
                <w:color w:val="1E293B"/>
                <w:sz w:val="18"/>
              </w:rPr>
              <w:t>Push + Left</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MOBILE_JIOSAAVN_MODE</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mode_idle (Main Menu)</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LOCAL_ROUTING_ONLY</w:t>
            </w:r>
          </w:p>
        </w:tc>
        <w:tc>
          <w:tcPr>
            <w:tcW w:type="dxa" w:w="1440"/>
            <w:shd w:fill="F8FAFC"/>
            <w:tcMar>
              <w:top w:w="100" w:type="dxa"/>
              <w:bottom w:w="100" w:type="dxa"/>
              <w:left w:w="130" w:type="dxa"/>
              <w:right w:w="130" w:type="dxa"/>
            </w:tcMar>
          </w:tcPr>
          <w:p>
            <w:pPr>
              <w:spacing w:before="40" w:after="40" w:line="252" w:lineRule="auto"/>
            </w:pPr>
            <w:r>
              <w:rPr>
                <w:rFonts w:ascii="Calibri" w:hAnsi="Calibri"/>
                <w:color w:val="1E293B"/>
                <w:sz w:val="18"/>
              </w:rPr>
              <w:t>C &gt;= 0.85</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36" w:space="0" w:color="16A34A"/>
              <w:top w:val="none"/>
              <w:right w:val="none"/>
              <w:bottom w:val="none"/>
            </w:tcBorders>
            <w:tcMar>
              <w:top w:w="140" w:type="dxa"/>
              <w:bottom w:w="140" w:type="dxa"/>
              <w:left w:w="200" w:type="dxa"/>
              <w:right w:w="180" w:type="dxa"/>
            </w:tcMar>
          </w:tcPr>
          <w:p>
            <w:pPr>
              <w:spacing w:before="40" w:after="80"/>
            </w:pPr>
            <w:r>
              <w:rPr>
                <w:rFonts w:ascii="Arial" w:hAnsi="Arial"/>
                <w:b/>
                <w:color w:val="166534"/>
                <w:sz w:val="20"/>
              </w:rPr>
              <w:t>✦  SAFETY ISOLATION OF SEARCH AND LAUNCH ACTIONS</w:t>
              <w:br/>
            </w:r>
            <w:r>
              <w:rPr>
                <w:rFonts w:ascii="Calibri" w:hAnsi="Calibri"/>
                <w:color w:val="334155"/>
                <w:sz w:val="19"/>
              </w:rPr>
              <w:t>Notice that SEARCH and LAUNCH are completely omitted from the BCI gesture table. In accordance with safety engineering principles, complex text search and process initialization require manual UI submission or verified dashboard interaction. Passing unconstrained mental intent to text search engines induces random keyboard noise and degraded user experience.</w:t>
            </w:r>
          </w:p>
        </w:tc>
      </w:tr>
    </w:tbl>
    <w:p>
      <w:pPr>
        <w:spacing w:before="0" w:after="120"/>
      </w:pPr>
    </w:p>
    <w:p>
      <w:r>
        <w:br w:type="page"/>
      </w:r>
    </w:p>
    <w:p>
      <w:pPr>
        <w:keepNext/>
        <w:spacing w:before="360" w:after="160"/>
      </w:pPr>
      <w:r>
        <w:rPr>
          <w:rFonts w:ascii="Arial" w:hAnsi="Arial"/>
          <w:b/>
          <w:color w:val="1E3A8A"/>
          <w:sz w:val="36"/>
        </w:rPr>
        <w:t>Chapter 3: End-to-End System Architecture &amp; Distributed Topography</w:t>
      </w:r>
    </w:p>
    <w:p>
      <w:pPr>
        <w:keepNext/>
        <w:spacing w:before="280" w:after="120"/>
      </w:pPr>
      <w:r>
        <w:rPr>
          <w:rFonts w:ascii="Arial" w:hAnsi="Arial"/>
          <w:b/>
          <w:color w:val="0D9488"/>
          <w:sz w:val="26"/>
        </w:rPr>
        <w:t>3.1 Distributed Architecture Overview</w:t>
      </w:r>
    </w:p>
    <w:p>
      <w:pPr>
        <w:spacing w:before="0" w:after="120" w:line="276" w:lineRule="auto"/>
        <w:jc w:val="both"/>
      </w:pPr>
      <w:r>
        <w:rPr>
          <w:rFonts w:ascii="Calibri" w:hAnsi="Calibri"/>
          <w:color w:val="1E293B"/>
          <w:sz w:val="21"/>
        </w:rPr>
        <w:t>The complete cyber-physical ecosystem comprises five distinct interconnected nodes operating across heterogeneous execution environments: the BCI Neural Transducer, the MasterHub IoT Core Server, the Distributed MQTT Telemetry Bus, the Android Companion Mobile Service, and the Sandboxed JioSaavn Media Player. Figure 2 illustrates the physical and logical topography of the integrated platform.</w:t>
      </w:r>
    </w:p>
    <w:p>
      <w:pPr>
        <w:spacing w:before="160" w:after="8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eeg_bci_headset_workflow_1790322877292.jpg"/>
                    <pic:cNvPicPr/>
                  </pic:nvPicPr>
                  <pic:blipFill>
                    <a:blip r:embed="rId12"/>
                    <a:stretch>
                      <a:fillRect/>
                    </a:stretch>
                  </pic:blipFill>
                  <pic:spPr>
                    <a:xfrm>
                      <a:off x="0" y="0"/>
                      <a:ext cx="5669280" cy="3164249"/>
                    </a:xfrm>
                    <a:prstGeom prst="rect"/>
                  </pic:spPr>
                </pic:pic>
              </a:graphicData>
            </a:graphic>
          </wp:inline>
        </w:drawing>
      </w:r>
    </w:p>
    <w:p>
      <w:pPr>
        <w:spacing w:before="40" w:after="240"/>
        <w:jc w:val="center"/>
      </w:pPr>
      <w:r>
        <w:rPr>
          <w:rFonts w:ascii="Calibri" w:hAnsi="Calibri"/>
          <w:b/>
          <w:i/>
          <w:color w:val="475569"/>
          <w:sz w:val="18"/>
        </w:rPr>
        <w:t>Figure 2: Conceptual End-to-End BCI-to-Mobile Ecosystem Workflow.</w:t>
      </w:r>
    </w:p>
    <w:p>
      <w:pPr>
        <w:keepNext/>
        <w:spacing w:before="280" w:after="120"/>
      </w:pPr>
      <w:r>
        <w:rPr>
          <w:rFonts w:ascii="Arial" w:hAnsi="Arial"/>
          <w:b/>
          <w:color w:val="0D9488"/>
          <w:sz w:val="26"/>
        </w:rPr>
        <w:t>3.2 MasterHub IoT Core Layer</w:t>
      </w:r>
    </w:p>
    <w:p>
      <w:pPr>
        <w:spacing w:before="0" w:after="120" w:line="276" w:lineRule="auto"/>
        <w:jc w:val="both"/>
      </w:pPr>
      <w:r>
        <w:rPr>
          <w:rFonts w:ascii="Calibri" w:hAnsi="Calibri"/>
          <w:color w:val="1E293B"/>
          <w:sz w:val="21"/>
        </w:rPr>
        <w:t>The MasterHub core framework (deployed at D:\GALATICX\masterhub_iot_noushith) is written in Python and provides centralized device coordination, neural feature processing, and state machine maintenance. It consists of:</w:t>
      </w:r>
    </w:p>
    <w:p>
      <w:pPr>
        <w:pStyle w:val="ListBullet"/>
        <w:spacing w:before="0" w:after="60" w:line="276" w:lineRule="auto"/>
      </w:pPr>
      <w:r>
        <w:rPr>
          <w:rFonts w:ascii="Calibri" w:hAnsi="Calibri"/>
          <w:b/>
          <w:color w:val="1E293B"/>
          <w:sz w:val="21"/>
        </w:rPr>
        <w:t xml:space="preserve">Action Router (actions/ai_ml/handler.py): </w:t>
      </w:r>
      <w:r>
        <w:rPr>
          <w:rFonts w:ascii="Calibri" w:hAnsi="Calibri"/>
          <w:color w:val="1E293B"/>
          <w:sz w:val="21"/>
        </w:rPr>
        <w:t>Intercepts all incoming command requests from both the BCI engine and the Web Dashboard. It performs immediate route preemption, directing mobile-specific commands (mobile_jiosaavn_*) to the mobile MQTT service before any fallback to local PC desktop automation.</w:t>
      </w:r>
    </w:p>
    <w:p>
      <w:pPr>
        <w:pStyle w:val="ListBullet"/>
        <w:spacing w:before="0" w:after="60" w:line="276" w:lineRule="auto"/>
      </w:pPr>
      <w:r>
        <w:rPr>
          <w:rFonts w:ascii="Calibri" w:hAnsi="Calibri"/>
          <w:b/>
          <w:color w:val="1E293B"/>
          <w:sz w:val="21"/>
        </w:rPr>
        <w:t xml:space="preserve">Action Translator (actions/media_jiosaavn_mobile.py): </w:t>
      </w:r>
      <w:r>
        <w:rPr>
          <w:rFonts w:ascii="Calibri" w:hAnsi="Calibri"/>
          <w:color w:val="1E293B"/>
          <w:sz w:val="21"/>
        </w:rPr>
        <w:t>Validates parameters, enforces confidence ranges (0.0 &lt;= C &lt;= 1.0), verifies query bounds (length &lt;= 500 characters), rejects automated BCI search/launch triggers, and maps internal names to protocol command strings.</w:t>
      </w:r>
    </w:p>
    <w:p>
      <w:pPr>
        <w:pStyle w:val="ListBullet"/>
        <w:spacing w:before="0" w:after="60" w:line="276" w:lineRule="auto"/>
      </w:pPr>
      <w:r>
        <w:rPr>
          <w:rFonts w:ascii="Calibri" w:hAnsi="Calibri"/>
          <w:b/>
          <w:color w:val="1E293B"/>
          <w:sz w:val="21"/>
        </w:rPr>
        <w:t xml:space="preserve">Mobile MQTT Service (services/mobile_mqtt_service.py): </w:t>
      </w:r>
      <w:r>
        <w:rPr>
          <w:rFonts w:ascii="Calibri" w:hAnsi="Calibri"/>
          <w:color w:val="1E293B"/>
          <w:sz w:val="21"/>
        </w:rPr>
        <w:t>Maintains an independent asynchronous MQTT connection, manages QoS 1 publishing, tracks command deadlines, correlates incoming execution acknowledgements (ACKs), and caches real-time phone liveness.</w:t>
      </w:r>
    </w:p>
    <w:p>
      <w:pPr>
        <w:keepNext/>
        <w:spacing w:before="280" w:after="120"/>
      </w:pPr>
      <w:r>
        <w:rPr>
          <w:rFonts w:ascii="Arial" w:hAnsi="Arial"/>
          <w:b/>
          <w:color w:val="0D9488"/>
          <w:sz w:val="26"/>
        </w:rPr>
        <w:t>3.3 Distributed MQTT Message Broker Layer</w:t>
      </w:r>
    </w:p>
    <w:p>
      <w:pPr>
        <w:spacing w:before="0" w:after="120" w:line="276" w:lineRule="auto"/>
        <w:jc w:val="both"/>
      </w:pPr>
      <w:r>
        <w:rPr>
          <w:rFonts w:ascii="Calibri" w:hAnsi="Calibri"/>
          <w:color w:val="1E293B"/>
          <w:sz w:val="21"/>
        </w:rPr>
        <w:t>An enterprise MQTT broker (such as EMQX Enterprise or Eclipse Mosquitto) serves as the decoupled pub/sub message backbone. MQTT was selected over raw HTTP REST, gRPC, or WebSockets due to its ultra-compact packet headers (2 bytes minimum), built-in persistent session state, Last Will and Testament (LWT) death announcements, and resilient QoS 1 delivery over volatile cellular / Wi-Fi networks.</w:t>
      </w:r>
    </w:p>
    <w:p>
      <w:pPr>
        <w:keepNext/>
        <w:spacing w:before="280" w:after="120"/>
      </w:pPr>
      <w:r>
        <w:rPr>
          <w:rFonts w:ascii="Arial" w:hAnsi="Arial"/>
          <w:b/>
          <w:color w:val="0D9488"/>
          <w:sz w:val="26"/>
        </w:rPr>
        <w:t>3.4 Android Companion Architecture (com.masterhub.bci)</w:t>
      </w:r>
    </w:p>
    <w:p>
      <w:pPr>
        <w:spacing w:before="0" w:after="120" w:line="276" w:lineRule="auto"/>
        <w:jc w:val="both"/>
      </w:pPr>
      <w:r>
        <w:rPr>
          <w:rFonts w:ascii="Calibri" w:hAnsi="Calibri"/>
          <w:color w:val="1E293B"/>
          <w:sz w:val="21"/>
        </w:rPr>
        <w:t>The companion application (deployed at D:\GALATICX\BCI_remotecontroll_jiosaavn) resides entirely on the target Android device. It decouples operational responsibilities into three distinct native Android components:</w:t>
      </w:r>
    </w:p>
    <w:p>
      <w:pPr>
        <w:pStyle w:val="ListBullet"/>
        <w:spacing w:before="0" w:after="60" w:line="276" w:lineRule="auto"/>
      </w:pPr>
      <w:r>
        <w:rPr>
          <w:rFonts w:ascii="Calibri" w:hAnsi="Calibri"/>
          <w:b/>
          <w:color w:val="1E293B"/>
          <w:sz w:val="21"/>
        </w:rPr>
        <w:t xml:space="preserve">RemoteService.kt: </w:t>
      </w:r>
      <w:r>
        <w:rPr>
          <w:rFonts w:ascii="Calibri" w:hAnsi="Calibri"/>
          <w:color w:val="1E293B"/>
          <w:sz w:val="21"/>
        </w:rPr>
        <w:t>An Android Foreground Service running with foregroundServiceType='specialUse'. It manages the Paho Java MQTT client, subscribes to commands, enforces local persistence deduplication via SharedPreferences, and handles the 5-second telemetry heartbeat ticker.</w:t>
      </w:r>
    </w:p>
    <w:p>
      <w:pPr>
        <w:pStyle w:val="ListBullet"/>
        <w:spacing w:before="0" w:after="60" w:line="276" w:lineRule="auto"/>
      </w:pPr>
      <w:r>
        <w:rPr>
          <w:rFonts w:ascii="Calibri" w:hAnsi="Calibri"/>
          <w:b/>
          <w:color w:val="1E293B"/>
          <w:sz w:val="21"/>
        </w:rPr>
        <w:t xml:space="preserve">MediaListener.kt: </w:t>
      </w:r>
      <w:r>
        <w:rPr>
          <w:rFonts w:ascii="Calibri" w:hAnsi="Calibri"/>
          <w:color w:val="1E293B"/>
          <w:sz w:val="21"/>
        </w:rPr>
        <w:t>A NotificationListenerService implementation. In accordance with Android security policies, binding this service grants the companion app system permission to acquire active MediaSession tokens from the MediaSessionManager.</w:t>
      </w:r>
    </w:p>
    <w:p>
      <w:pPr>
        <w:pStyle w:val="ListBullet"/>
        <w:spacing w:before="0" w:after="60" w:line="276" w:lineRule="auto"/>
      </w:pPr>
      <w:r>
        <w:rPr>
          <w:rFonts w:ascii="Calibri" w:hAnsi="Calibri"/>
          <w:b/>
          <w:color w:val="1E293B"/>
          <w:sz w:val="21"/>
        </w:rPr>
        <w:t xml:space="preserve">BciAccessibilityService.kt: </w:t>
      </w:r>
      <w:r>
        <w:rPr>
          <w:rFonts w:ascii="Calibri" w:hAnsi="Calibri"/>
          <w:color w:val="1E293B"/>
          <w:sz w:val="21"/>
        </w:rPr>
        <w:t>An AccessibilityService implementation. When active, it inspects on-screen window nodes belonging to com.jio.media.jiobeats, enabling tactile button clicks, search query entry, and global Android Home navigation.</w:t>
      </w:r>
    </w:p>
    <w:p>
      <w:r>
        <w:br w:type="page"/>
      </w:r>
    </w:p>
    <w:p>
      <w:pPr>
        <w:keepNext/>
        <w:spacing w:before="360" w:after="160"/>
      </w:pPr>
      <w:r>
        <w:rPr>
          <w:rFonts w:ascii="Arial" w:hAnsi="Arial"/>
          <w:b/>
          <w:color w:val="1E3A8A"/>
          <w:sz w:val="36"/>
        </w:rPr>
        <w:t>Chapter 4: The Shared Distributed Protocol Specification (MasterHub / BCI Remote v1.0)</w:t>
      </w:r>
    </w:p>
    <w:p>
      <w:pPr>
        <w:keepNext/>
        <w:spacing w:before="280" w:after="120"/>
      </w:pPr>
      <w:r>
        <w:rPr>
          <w:rFonts w:ascii="Arial" w:hAnsi="Arial"/>
          <w:b/>
          <w:color w:val="0D9488"/>
          <w:sz w:val="26"/>
        </w:rPr>
        <w:t>4.1 Strict Asynchronous MQTT Bus Architecture</w:t>
      </w:r>
    </w:p>
    <w:p>
      <w:pPr>
        <w:spacing w:before="0" w:after="120" w:line="276" w:lineRule="auto"/>
        <w:jc w:val="both"/>
      </w:pPr>
      <w:r>
        <w:rPr>
          <w:rFonts w:ascii="Calibri" w:hAnsi="Calibri"/>
          <w:color w:val="1E293B"/>
          <w:sz w:val="21"/>
        </w:rPr>
        <w:t>Communication between MasterHub and the Android companion strictly adheres to the MasterHub / BCI JioSaavn Remote Protocol v1.0. All control, acknowledgement, and telemetry payloads are formatted as UTF-8 encoded JSON objects. Table 4.1 summarizes the complete topic hierarchy.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1E3A8A"/>
            <w:tcMar>
              <w:top w:w="120" w:type="dxa"/>
              <w:bottom w:w="120" w:type="dxa"/>
              <w:left w:w="140" w:type="dxa"/>
              <w:right w:w="140" w:type="dxa"/>
            </w:tcMar>
          </w:tcPr>
          <w:p>
            <w:pPr>
              <w:spacing w:before="40" w:after="40"/>
              <w:jc w:val="center"/>
            </w:pPr>
            <w:r>
              <w:rPr>
                <w:rFonts w:ascii="Arial" w:hAnsi="Arial"/>
                <w:b/>
                <w:color w:val="FFFFFF"/>
                <w:sz w:val="19"/>
              </w:rPr>
              <w:t>MQTT Topic</w:t>
            </w:r>
          </w:p>
        </w:tc>
        <w:tc>
          <w:tcPr>
            <w:tcW w:type="dxa" w:w="1296"/>
            <w:shd w:fill="1E3A8A"/>
            <w:tcMar>
              <w:top w:w="120" w:type="dxa"/>
              <w:bottom w:w="120" w:type="dxa"/>
              <w:left w:w="140" w:type="dxa"/>
              <w:right w:w="140" w:type="dxa"/>
            </w:tcMar>
          </w:tcPr>
          <w:p>
            <w:pPr>
              <w:spacing w:before="40" w:after="40"/>
              <w:jc w:val="center"/>
            </w:pPr>
            <w:r>
              <w:rPr>
                <w:rFonts w:ascii="Arial" w:hAnsi="Arial"/>
                <w:b/>
                <w:color w:val="FFFFFF"/>
                <w:sz w:val="19"/>
              </w:rPr>
              <w:t>Publisher</w:t>
            </w:r>
          </w:p>
        </w:tc>
        <w:tc>
          <w:tcPr>
            <w:tcW w:type="dxa" w:w="1296"/>
            <w:shd w:fill="1E3A8A"/>
            <w:tcMar>
              <w:top w:w="120" w:type="dxa"/>
              <w:bottom w:w="120" w:type="dxa"/>
              <w:left w:w="140" w:type="dxa"/>
              <w:right w:w="140" w:type="dxa"/>
            </w:tcMar>
          </w:tcPr>
          <w:p>
            <w:pPr>
              <w:spacing w:before="40" w:after="40"/>
              <w:jc w:val="center"/>
            </w:pPr>
            <w:r>
              <w:rPr>
                <w:rFonts w:ascii="Arial" w:hAnsi="Arial"/>
                <w:b/>
                <w:color w:val="FFFFFF"/>
                <w:sz w:val="19"/>
              </w:rPr>
              <w:t>Subscriber</w:t>
            </w:r>
          </w:p>
        </w:tc>
        <w:tc>
          <w:tcPr>
            <w:tcW w:type="dxa" w:w="576"/>
            <w:shd w:fill="1E3A8A"/>
            <w:tcMar>
              <w:top w:w="120" w:type="dxa"/>
              <w:bottom w:w="120" w:type="dxa"/>
              <w:left w:w="140" w:type="dxa"/>
              <w:right w:w="140" w:type="dxa"/>
            </w:tcMar>
          </w:tcPr>
          <w:p>
            <w:pPr>
              <w:spacing w:before="40" w:after="40"/>
              <w:jc w:val="center"/>
            </w:pPr>
            <w:r>
              <w:rPr>
                <w:rFonts w:ascii="Arial" w:hAnsi="Arial"/>
                <w:b/>
                <w:color w:val="FFFFFF"/>
                <w:sz w:val="19"/>
              </w:rPr>
              <w:t>QoS</w:t>
            </w:r>
          </w:p>
        </w:tc>
        <w:tc>
          <w:tcPr>
            <w:tcW w:type="dxa" w:w="864"/>
            <w:shd w:fill="1E3A8A"/>
            <w:tcMar>
              <w:top w:w="120" w:type="dxa"/>
              <w:bottom w:w="120" w:type="dxa"/>
              <w:left w:w="140" w:type="dxa"/>
              <w:right w:w="140" w:type="dxa"/>
            </w:tcMar>
          </w:tcPr>
          <w:p>
            <w:pPr>
              <w:spacing w:before="40" w:after="40"/>
              <w:jc w:val="center"/>
            </w:pPr>
            <w:r>
              <w:rPr>
                <w:rFonts w:ascii="Arial" w:hAnsi="Arial"/>
                <w:b/>
                <w:color w:val="FFFFFF"/>
                <w:sz w:val="19"/>
              </w:rPr>
              <w:t>Retained</w:t>
            </w:r>
          </w:p>
        </w:tc>
        <w:tc>
          <w:tcPr>
            <w:tcW w:type="dxa" w:w="3168"/>
            <w:shd w:fill="1E3A8A"/>
            <w:tcMar>
              <w:top w:w="120" w:type="dxa"/>
              <w:bottom w:w="120" w:type="dxa"/>
              <w:left w:w="140" w:type="dxa"/>
              <w:right w:w="140" w:type="dxa"/>
            </w:tcMar>
          </w:tcPr>
          <w:p>
            <w:pPr>
              <w:spacing w:before="40" w:after="40"/>
              <w:jc w:val="center"/>
            </w:pPr>
            <w:r>
              <w:rPr>
                <w:rFonts w:ascii="Arial" w:hAnsi="Arial"/>
                <w:b/>
                <w:color w:val="FFFFFF"/>
                <w:sz w:val="19"/>
              </w:rPr>
              <w:t>Payload Purpose</w:t>
            </w:r>
          </w:p>
        </w:tc>
      </w:tr>
      <w:tr>
        <w:tc>
          <w:tcPr>
            <w:tcW w:type="dxa" w:w="2160"/>
            <w:shd w:fill="FFFFFF"/>
            <w:tcMar>
              <w:top w:w="100" w:type="dxa"/>
              <w:bottom w:w="100" w:type="dxa"/>
              <w:left w:w="130" w:type="dxa"/>
              <w:right w:w="130" w:type="dxa"/>
            </w:tcMar>
          </w:tcPr>
          <w:p>
            <w:pPr>
              <w:spacing w:before="40" w:after="40" w:line="252" w:lineRule="auto"/>
            </w:pPr>
            <w:r>
              <w:rPr>
                <w:rFonts w:ascii="Calibri" w:hAnsi="Calibri"/>
                <w:b/>
                <w:color w:val="1E293B"/>
                <w:sz w:val="18"/>
              </w:rPr>
              <w:t>bci/rohan/commands</w:t>
            </w:r>
          </w:p>
        </w:tc>
        <w:tc>
          <w:tcPr>
            <w:tcW w:type="dxa" w:w="1296"/>
            <w:shd w:fill="FFFFFF"/>
            <w:tcMar>
              <w:top w:w="100" w:type="dxa"/>
              <w:bottom w:w="100" w:type="dxa"/>
              <w:left w:w="130" w:type="dxa"/>
              <w:right w:w="130" w:type="dxa"/>
            </w:tcMar>
          </w:tcPr>
          <w:p>
            <w:pPr>
              <w:spacing w:before="40" w:after="40" w:line="252" w:lineRule="auto"/>
            </w:pPr>
            <w:r>
              <w:rPr>
                <w:rFonts w:ascii="Calibri" w:hAnsi="Calibri"/>
                <w:color w:val="1E293B"/>
                <w:sz w:val="18"/>
              </w:rPr>
              <w:t>MasterHub</w:t>
            </w:r>
          </w:p>
        </w:tc>
        <w:tc>
          <w:tcPr>
            <w:tcW w:type="dxa" w:w="1296"/>
            <w:shd w:fill="FFFFFF"/>
            <w:tcMar>
              <w:top w:w="100" w:type="dxa"/>
              <w:bottom w:w="100" w:type="dxa"/>
              <w:left w:w="130" w:type="dxa"/>
              <w:right w:w="130" w:type="dxa"/>
            </w:tcMar>
          </w:tcPr>
          <w:p>
            <w:pPr>
              <w:spacing w:before="40" w:after="40" w:line="252" w:lineRule="auto"/>
            </w:pPr>
            <w:r>
              <w:rPr>
                <w:rFonts w:ascii="Calibri" w:hAnsi="Calibri"/>
                <w:color w:val="1E293B"/>
                <w:sz w:val="18"/>
              </w:rPr>
              <w:t>Android Phone</w:t>
            </w:r>
          </w:p>
        </w:tc>
        <w:tc>
          <w:tcPr>
            <w:tcW w:type="dxa" w:w="576"/>
            <w:shd w:fill="FFFFFF"/>
            <w:tcMar>
              <w:top w:w="100" w:type="dxa"/>
              <w:bottom w:w="100" w:type="dxa"/>
              <w:left w:w="130" w:type="dxa"/>
              <w:right w:w="130" w:type="dxa"/>
            </w:tcMar>
          </w:tcPr>
          <w:p>
            <w:pPr>
              <w:spacing w:before="40" w:after="40" w:line="252" w:lineRule="auto"/>
            </w:pPr>
            <w:r>
              <w:rPr>
                <w:rFonts w:ascii="Calibri" w:hAnsi="Calibri"/>
                <w:color w:val="1E293B"/>
                <w:sz w:val="18"/>
              </w:rPr>
              <w:t>1</w:t>
            </w:r>
          </w:p>
        </w:tc>
        <w:tc>
          <w:tcPr>
            <w:tcW w:type="dxa" w:w="864"/>
            <w:shd w:fill="FFFFFF"/>
            <w:tcMar>
              <w:top w:w="100" w:type="dxa"/>
              <w:bottom w:w="100" w:type="dxa"/>
              <w:left w:w="130" w:type="dxa"/>
              <w:right w:w="130" w:type="dxa"/>
            </w:tcMar>
          </w:tcPr>
          <w:p>
            <w:pPr>
              <w:spacing w:before="40" w:after="40" w:line="252" w:lineRule="auto"/>
            </w:pPr>
            <w:r>
              <w:rPr>
                <w:rFonts w:ascii="Calibri" w:hAnsi="Calibri"/>
                <w:color w:val="1E293B"/>
                <w:sz w:val="18"/>
              </w:rPr>
              <w:t>False</w:t>
            </w:r>
          </w:p>
        </w:tc>
        <w:tc>
          <w:tcPr>
            <w:tcW w:type="dxa" w:w="3168"/>
            <w:shd w:fill="FFFFFF"/>
            <w:tcMar>
              <w:top w:w="100" w:type="dxa"/>
              <w:bottom w:w="100" w:type="dxa"/>
              <w:left w:w="130" w:type="dxa"/>
              <w:right w:w="130" w:type="dxa"/>
            </w:tcMar>
          </w:tcPr>
          <w:p>
            <w:pPr>
              <w:spacing w:before="40" w:after="40" w:line="252" w:lineRule="auto"/>
            </w:pPr>
            <w:r>
              <w:rPr>
                <w:rFonts w:ascii="Calibri" w:hAnsi="Calibri"/>
                <w:color w:val="1E293B"/>
                <w:sz w:val="18"/>
              </w:rPr>
              <w:t>Dispatches actionable BCI/Manual commands with UUID and expiry</w:t>
            </w:r>
          </w:p>
        </w:tc>
      </w:tr>
      <w:tr>
        <w:tc>
          <w:tcPr>
            <w:tcW w:type="dxa" w:w="2160"/>
            <w:shd w:fill="F8FAFC"/>
            <w:tcMar>
              <w:top w:w="100" w:type="dxa"/>
              <w:bottom w:w="100" w:type="dxa"/>
              <w:left w:w="130" w:type="dxa"/>
              <w:right w:w="130" w:type="dxa"/>
            </w:tcMar>
          </w:tcPr>
          <w:p>
            <w:pPr>
              <w:spacing w:before="40" w:after="40" w:line="252" w:lineRule="auto"/>
            </w:pPr>
            <w:r>
              <w:rPr>
                <w:rFonts w:ascii="Calibri" w:hAnsi="Calibri"/>
                <w:b/>
                <w:color w:val="1E293B"/>
                <w:sz w:val="18"/>
              </w:rPr>
              <w:t>bci/rohan/control</w:t>
            </w:r>
          </w:p>
        </w:tc>
        <w:tc>
          <w:tcPr>
            <w:tcW w:type="dxa" w:w="1296"/>
            <w:shd w:fill="F8FAFC"/>
            <w:tcMar>
              <w:top w:w="100" w:type="dxa"/>
              <w:bottom w:w="100" w:type="dxa"/>
              <w:left w:w="130" w:type="dxa"/>
              <w:right w:w="130" w:type="dxa"/>
            </w:tcMar>
          </w:tcPr>
          <w:p>
            <w:pPr>
              <w:spacing w:before="40" w:after="40" w:line="252" w:lineRule="auto"/>
            </w:pPr>
            <w:r>
              <w:rPr>
                <w:rFonts w:ascii="Calibri" w:hAnsi="Calibri"/>
                <w:color w:val="1E293B"/>
                <w:sz w:val="18"/>
              </w:rPr>
              <w:t>MasterHub</w:t>
            </w:r>
          </w:p>
        </w:tc>
        <w:tc>
          <w:tcPr>
            <w:tcW w:type="dxa" w:w="1296"/>
            <w:shd w:fill="F8FAFC"/>
            <w:tcMar>
              <w:top w:w="100" w:type="dxa"/>
              <w:bottom w:w="100" w:type="dxa"/>
              <w:left w:w="130" w:type="dxa"/>
              <w:right w:w="130" w:type="dxa"/>
            </w:tcMar>
          </w:tcPr>
          <w:p>
            <w:pPr>
              <w:spacing w:before="40" w:after="40" w:line="252" w:lineRule="auto"/>
            </w:pPr>
            <w:r>
              <w:rPr>
                <w:rFonts w:ascii="Calibri" w:hAnsi="Calibri"/>
                <w:color w:val="1E293B"/>
                <w:sz w:val="18"/>
              </w:rPr>
              <w:t>Android Phone</w:t>
            </w:r>
          </w:p>
        </w:tc>
        <w:tc>
          <w:tcPr>
            <w:tcW w:type="dxa" w:w="576"/>
            <w:shd w:fill="F8FAFC"/>
            <w:tcMar>
              <w:top w:w="100" w:type="dxa"/>
              <w:bottom w:w="100" w:type="dxa"/>
              <w:left w:w="130" w:type="dxa"/>
              <w:right w:w="130" w:type="dxa"/>
            </w:tcMar>
          </w:tcPr>
          <w:p>
            <w:pPr>
              <w:spacing w:before="40" w:after="40" w:line="252" w:lineRule="auto"/>
            </w:pPr>
            <w:r>
              <w:rPr>
                <w:rFonts w:ascii="Calibri" w:hAnsi="Calibri"/>
                <w:color w:val="1E293B"/>
                <w:sz w:val="18"/>
              </w:rPr>
              <w:t>1</w:t>
            </w:r>
          </w:p>
        </w:tc>
        <w:tc>
          <w:tcPr>
            <w:tcW w:type="dxa" w:w="864"/>
            <w:shd w:fill="F8FAFC"/>
            <w:tcMar>
              <w:top w:w="100" w:type="dxa"/>
              <w:bottom w:w="100" w:type="dxa"/>
              <w:left w:w="130" w:type="dxa"/>
              <w:right w:w="130" w:type="dxa"/>
            </w:tcMar>
          </w:tcPr>
          <w:p>
            <w:pPr>
              <w:spacing w:before="40" w:after="40" w:line="252" w:lineRule="auto"/>
            </w:pPr>
            <w:r>
              <w:rPr>
                <w:rFonts w:ascii="Calibri" w:hAnsi="Calibri"/>
                <w:color w:val="1E293B"/>
                <w:sz w:val="18"/>
              </w:rPr>
              <w:t>False</w:t>
            </w:r>
          </w:p>
        </w:tc>
        <w:tc>
          <w:tcPr>
            <w:tcW w:type="dxa" w:w="3168"/>
            <w:shd w:fill="F8FAFC"/>
            <w:tcMar>
              <w:top w:w="100" w:type="dxa"/>
              <w:bottom w:w="100" w:type="dxa"/>
              <w:left w:w="130" w:type="dxa"/>
              <w:right w:w="130" w:type="dxa"/>
            </w:tcMar>
          </w:tcPr>
          <w:p>
            <w:pPr>
              <w:spacing w:before="40" w:after="40" w:line="252" w:lineRule="auto"/>
            </w:pPr>
            <w:r>
              <w:rPr>
                <w:rFonts w:ascii="Calibri" w:hAnsi="Calibri"/>
                <w:color w:val="1E293B"/>
                <w:sz w:val="18"/>
              </w:rPr>
              <w:t>Streams runtime pipeline gate controls (START / STOP requests)</w:t>
            </w:r>
          </w:p>
        </w:tc>
      </w:tr>
      <w:tr>
        <w:tc>
          <w:tcPr>
            <w:tcW w:type="dxa" w:w="2160"/>
            <w:shd w:fill="FFFFFF"/>
            <w:tcMar>
              <w:top w:w="100" w:type="dxa"/>
              <w:bottom w:w="100" w:type="dxa"/>
              <w:left w:w="130" w:type="dxa"/>
              <w:right w:w="130" w:type="dxa"/>
            </w:tcMar>
          </w:tcPr>
          <w:p>
            <w:pPr>
              <w:spacing w:before="40" w:after="40" w:line="252" w:lineRule="auto"/>
            </w:pPr>
            <w:r>
              <w:rPr>
                <w:rFonts w:ascii="Calibri" w:hAnsi="Calibri"/>
                <w:b/>
                <w:color w:val="1E293B"/>
                <w:sz w:val="18"/>
              </w:rPr>
              <w:t>bci/rohan/ack</w:t>
            </w:r>
          </w:p>
        </w:tc>
        <w:tc>
          <w:tcPr>
            <w:tcW w:type="dxa" w:w="1296"/>
            <w:shd w:fill="FFFFFF"/>
            <w:tcMar>
              <w:top w:w="100" w:type="dxa"/>
              <w:bottom w:w="100" w:type="dxa"/>
              <w:left w:w="130" w:type="dxa"/>
              <w:right w:w="130" w:type="dxa"/>
            </w:tcMar>
          </w:tcPr>
          <w:p>
            <w:pPr>
              <w:spacing w:before="40" w:after="40" w:line="252" w:lineRule="auto"/>
            </w:pPr>
            <w:r>
              <w:rPr>
                <w:rFonts w:ascii="Calibri" w:hAnsi="Calibri"/>
                <w:color w:val="1E293B"/>
                <w:sz w:val="18"/>
              </w:rPr>
              <w:t>Android Phone</w:t>
            </w:r>
          </w:p>
        </w:tc>
        <w:tc>
          <w:tcPr>
            <w:tcW w:type="dxa" w:w="1296"/>
            <w:shd w:fill="FFFFFF"/>
            <w:tcMar>
              <w:top w:w="100" w:type="dxa"/>
              <w:bottom w:w="100" w:type="dxa"/>
              <w:left w:w="130" w:type="dxa"/>
              <w:right w:w="130" w:type="dxa"/>
            </w:tcMar>
          </w:tcPr>
          <w:p>
            <w:pPr>
              <w:spacing w:before="40" w:after="40" w:line="252" w:lineRule="auto"/>
            </w:pPr>
            <w:r>
              <w:rPr>
                <w:rFonts w:ascii="Calibri" w:hAnsi="Calibri"/>
                <w:color w:val="1E293B"/>
                <w:sz w:val="18"/>
              </w:rPr>
              <w:t>MasterHub</w:t>
            </w:r>
          </w:p>
        </w:tc>
        <w:tc>
          <w:tcPr>
            <w:tcW w:type="dxa" w:w="576"/>
            <w:shd w:fill="FFFFFF"/>
            <w:tcMar>
              <w:top w:w="100" w:type="dxa"/>
              <w:bottom w:w="100" w:type="dxa"/>
              <w:left w:w="130" w:type="dxa"/>
              <w:right w:w="130" w:type="dxa"/>
            </w:tcMar>
          </w:tcPr>
          <w:p>
            <w:pPr>
              <w:spacing w:before="40" w:after="40" w:line="252" w:lineRule="auto"/>
            </w:pPr>
            <w:r>
              <w:rPr>
                <w:rFonts w:ascii="Calibri" w:hAnsi="Calibri"/>
                <w:color w:val="1E293B"/>
                <w:sz w:val="18"/>
              </w:rPr>
              <w:t>1</w:t>
            </w:r>
          </w:p>
        </w:tc>
        <w:tc>
          <w:tcPr>
            <w:tcW w:type="dxa" w:w="864"/>
            <w:shd w:fill="FFFFFF"/>
            <w:tcMar>
              <w:top w:w="100" w:type="dxa"/>
              <w:bottom w:w="100" w:type="dxa"/>
              <w:left w:w="130" w:type="dxa"/>
              <w:right w:w="130" w:type="dxa"/>
            </w:tcMar>
          </w:tcPr>
          <w:p>
            <w:pPr>
              <w:spacing w:before="40" w:after="40" w:line="252" w:lineRule="auto"/>
            </w:pPr>
            <w:r>
              <w:rPr>
                <w:rFonts w:ascii="Calibri" w:hAnsi="Calibri"/>
                <w:color w:val="1E293B"/>
                <w:sz w:val="18"/>
              </w:rPr>
              <w:t>False</w:t>
            </w:r>
          </w:p>
        </w:tc>
        <w:tc>
          <w:tcPr>
            <w:tcW w:type="dxa" w:w="3168"/>
            <w:shd w:fill="FFFFFF"/>
            <w:tcMar>
              <w:top w:w="100" w:type="dxa"/>
              <w:bottom w:w="100" w:type="dxa"/>
              <w:left w:w="130" w:type="dxa"/>
              <w:right w:w="130" w:type="dxa"/>
            </w:tcMar>
          </w:tcPr>
          <w:p>
            <w:pPr>
              <w:spacing w:before="40" w:after="40" w:line="252" w:lineRule="auto"/>
            </w:pPr>
            <w:r>
              <w:rPr>
                <w:rFonts w:ascii="Calibri" w:hAnsi="Calibri"/>
                <w:color w:val="1E293B"/>
                <w:sz w:val="18"/>
              </w:rPr>
              <w:t>Correlated execution acknowledgment with status and timing</w:t>
            </w:r>
          </w:p>
        </w:tc>
      </w:tr>
      <w:tr>
        <w:tc>
          <w:tcPr>
            <w:tcW w:type="dxa" w:w="2160"/>
            <w:shd w:fill="F8FAFC"/>
            <w:tcMar>
              <w:top w:w="100" w:type="dxa"/>
              <w:bottom w:w="100" w:type="dxa"/>
              <w:left w:w="130" w:type="dxa"/>
              <w:right w:w="130" w:type="dxa"/>
            </w:tcMar>
          </w:tcPr>
          <w:p>
            <w:pPr>
              <w:spacing w:before="40" w:after="40" w:line="252" w:lineRule="auto"/>
            </w:pPr>
            <w:r>
              <w:rPr>
                <w:rFonts w:ascii="Calibri" w:hAnsi="Calibri"/>
                <w:b/>
                <w:color w:val="1E293B"/>
                <w:sz w:val="18"/>
              </w:rPr>
              <w:t>bci/rohan/media</w:t>
            </w:r>
          </w:p>
        </w:tc>
        <w:tc>
          <w:tcPr>
            <w:tcW w:type="dxa" w:w="1296"/>
            <w:shd w:fill="F8FAFC"/>
            <w:tcMar>
              <w:top w:w="100" w:type="dxa"/>
              <w:bottom w:w="100" w:type="dxa"/>
              <w:left w:w="130" w:type="dxa"/>
              <w:right w:w="130" w:type="dxa"/>
            </w:tcMar>
          </w:tcPr>
          <w:p>
            <w:pPr>
              <w:spacing w:before="40" w:after="40" w:line="252" w:lineRule="auto"/>
            </w:pPr>
            <w:r>
              <w:rPr>
                <w:rFonts w:ascii="Calibri" w:hAnsi="Calibri"/>
                <w:color w:val="1E293B"/>
                <w:sz w:val="18"/>
              </w:rPr>
              <w:t>Android Phone</w:t>
            </w:r>
          </w:p>
        </w:tc>
        <w:tc>
          <w:tcPr>
            <w:tcW w:type="dxa" w:w="1296"/>
            <w:shd w:fill="F8FAFC"/>
            <w:tcMar>
              <w:top w:w="100" w:type="dxa"/>
              <w:bottom w:w="100" w:type="dxa"/>
              <w:left w:w="130" w:type="dxa"/>
              <w:right w:w="130" w:type="dxa"/>
            </w:tcMar>
          </w:tcPr>
          <w:p>
            <w:pPr>
              <w:spacing w:before="40" w:after="40" w:line="252" w:lineRule="auto"/>
            </w:pPr>
            <w:r>
              <w:rPr>
                <w:rFonts w:ascii="Calibri" w:hAnsi="Calibri"/>
                <w:color w:val="1E293B"/>
                <w:sz w:val="18"/>
              </w:rPr>
              <w:t>MasterHub</w:t>
            </w:r>
          </w:p>
        </w:tc>
        <w:tc>
          <w:tcPr>
            <w:tcW w:type="dxa" w:w="576"/>
            <w:shd w:fill="F8FAFC"/>
            <w:tcMar>
              <w:top w:w="100" w:type="dxa"/>
              <w:bottom w:w="100" w:type="dxa"/>
              <w:left w:w="130" w:type="dxa"/>
              <w:right w:w="130" w:type="dxa"/>
            </w:tcMar>
          </w:tcPr>
          <w:p>
            <w:pPr>
              <w:spacing w:before="40" w:after="40" w:line="252" w:lineRule="auto"/>
            </w:pPr>
            <w:r>
              <w:rPr>
                <w:rFonts w:ascii="Calibri" w:hAnsi="Calibri"/>
                <w:color w:val="1E293B"/>
                <w:sz w:val="18"/>
              </w:rPr>
              <w:t>1</w:t>
            </w:r>
          </w:p>
        </w:tc>
        <w:tc>
          <w:tcPr>
            <w:tcW w:type="dxa" w:w="864"/>
            <w:shd w:fill="F8FAFC"/>
            <w:tcMar>
              <w:top w:w="100" w:type="dxa"/>
              <w:bottom w:w="100" w:type="dxa"/>
              <w:left w:w="130" w:type="dxa"/>
              <w:right w:w="130" w:type="dxa"/>
            </w:tcMar>
          </w:tcPr>
          <w:p>
            <w:pPr>
              <w:spacing w:before="40" w:after="40" w:line="252" w:lineRule="auto"/>
            </w:pPr>
            <w:r>
              <w:rPr>
                <w:rFonts w:ascii="Calibri" w:hAnsi="Calibri"/>
                <w:color w:val="1E293B"/>
                <w:sz w:val="18"/>
              </w:rPr>
              <w:t>False</w:t>
            </w:r>
          </w:p>
        </w:tc>
        <w:tc>
          <w:tcPr>
            <w:tcW w:type="dxa" w:w="3168"/>
            <w:shd w:fill="F8FAFC"/>
            <w:tcMar>
              <w:top w:w="100" w:type="dxa"/>
              <w:bottom w:w="100" w:type="dxa"/>
              <w:left w:w="130" w:type="dxa"/>
              <w:right w:w="130" w:type="dxa"/>
            </w:tcMar>
          </w:tcPr>
          <w:p>
            <w:pPr>
              <w:spacing w:before="40" w:after="40" w:line="252" w:lineRule="auto"/>
            </w:pPr>
            <w:r>
              <w:rPr>
                <w:rFonts w:ascii="Calibri" w:hAnsi="Calibri"/>
                <w:color w:val="1E293B"/>
                <w:sz w:val="18"/>
              </w:rPr>
              <w:t>Periodic now-playing metadata snapshot (title, artist, state)</w:t>
            </w:r>
          </w:p>
        </w:tc>
      </w:tr>
      <w:tr>
        <w:tc>
          <w:tcPr>
            <w:tcW w:type="dxa" w:w="2160"/>
            <w:shd w:fill="FFFFFF"/>
            <w:tcMar>
              <w:top w:w="100" w:type="dxa"/>
              <w:bottom w:w="100" w:type="dxa"/>
              <w:left w:w="130" w:type="dxa"/>
              <w:right w:w="130" w:type="dxa"/>
            </w:tcMar>
          </w:tcPr>
          <w:p>
            <w:pPr>
              <w:spacing w:before="40" w:after="40" w:line="252" w:lineRule="auto"/>
            </w:pPr>
            <w:r>
              <w:rPr>
                <w:rFonts w:ascii="Calibri" w:hAnsi="Calibri"/>
                <w:b/>
                <w:color w:val="1E293B"/>
                <w:sz w:val="18"/>
              </w:rPr>
              <w:t>bci/rohan/status</w:t>
            </w:r>
          </w:p>
        </w:tc>
        <w:tc>
          <w:tcPr>
            <w:tcW w:type="dxa" w:w="1296"/>
            <w:shd w:fill="FFFFFF"/>
            <w:tcMar>
              <w:top w:w="100" w:type="dxa"/>
              <w:bottom w:w="100" w:type="dxa"/>
              <w:left w:w="130" w:type="dxa"/>
              <w:right w:w="130" w:type="dxa"/>
            </w:tcMar>
          </w:tcPr>
          <w:p>
            <w:pPr>
              <w:spacing w:before="40" w:after="40" w:line="252" w:lineRule="auto"/>
            </w:pPr>
            <w:r>
              <w:rPr>
                <w:rFonts w:ascii="Calibri" w:hAnsi="Calibri"/>
                <w:color w:val="1E293B"/>
                <w:sz w:val="18"/>
              </w:rPr>
              <w:t>Android Phone</w:t>
            </w:r>
          </w:p>
        </w:tc>
        <w:tc>
          <w:tcPr>
            <w:tcW w:type="dxa" w:w="1296"/>
            <w:shd w:fill="FFFFFF"/>
            <w:tcMar>
              <w:top w:w="100" w:type="dxa"/>
              <w:bottom w:w="100" w:type="dxa"/>
              <w:left w:w="130" w:type="dxa"/>
              <w:right w:w="130" w:type="dxa"/>
            </w:tcMar>
          </w:tcPr>
          <w:p>
            <w:pPr>
              <w:spacing w:before="40" w:after="40" w:line="252" w:lineRule="auto"/>
            </w:pPr>
            <w:r>
              <w:rPr>
                <w:rFonts w:ascii="Calibri" w:hAnsi="Calibri"/>
                <w:color w:val="1E293B"/>
                <w:sz w:val="18"/>
              </w:rPr>
              <w:t>MasterHub</w:t>
            </w:r>
          </w:p>
        </w:tc>
        <w:tc>
          <w:tcPr>
            <w:tcW w:type="dxa" w:w="576"/>
            <w:shd w:fill="FFFFFF"/>
            <w:tcMar>
              <w:top w:w="100" w:type="dxa"/>
              <w:bottom w:w="100" w:type="dxa"/>
              <w:left w:w="130" w:type="dxa"/>
              <w:right w:w="130" w:type="dxa"/>
            </w:tcMar>
          </w:tcPr>
          <w:p>
            <w:pPr>
              <w:spacing w:before="40" w:after="40" w:line="252" w:lineRule="auto"/>
            </w:pPr>
            <w:r>
              <w:rPr>
                <w:rFonts w:ascii="Calibri" w:hAnsi="Calibri"/>
                <w:color w:val="1E293B"/>
                <w:sz w:val="18"/>
              </w:rPr>
              <w:t>1</w:t>
            </w:r>
          </w:p>
        </w:tc>
        <w:tc>
          <w:tcPr>
            <w:tcW w:type="dxa" w:w="864"/>
            <w:shd w:fill="FFFFFF"/>
            <w:tcMar>
              <w:top w:w="100" w:type="dxa"/>
              <w:bottom w:w="100" w:type="dxa"/>
              <w:left w:w="130" w:type="dxa"/>
              <w:right w:w="130" w:type="dxa"/>
            </w:tcMar>
          </w:tcPr>
          <w:p>
            <w:pPr>
              <w:spacing w:before="40" w:after="40" w:line="252" w:lineRule="auto"/>
            </w:pPr>
            <w:r>
              <w:rPr>
                <w:rFonts w:ascii="Calibri" w:hAnsi="Calibri"/>
                <w:color w:val="1E293B"/>
                <w:sz w:val="18"/>
              </w:rPr>
              <w:t>True</w:t>
            </w:r>
          </w:p>
        </w:tc>
        <w:tc>
          <w:tcPr>
            <w:tcW w:type="dxa" w:w="3168"/>
            <w:shd w:fill="FFFFFF"/>
            <w:tcMar>
              <w:top w:w="100" w:type="dxa"/>
              <w:bottom w:w="100" w:type="dxa"/>
              <w:left w:w="130" w:type="dxa"/>
              <w:right w:w="130" w:type="dxa"/>
            </w:tcMar>
          </w:tcPr>
          <w:p>
            <w:pPr>
              <w:spacing w:before="40" w:after="40" w:line="252" w:lineRule="auto"/>
            </w:pPr>
            <w:r>
              <w:rPr>
                <w:rFonts w:ascii="Calibri" w:hAnsi="Calibri"/>
                <w:color w:val="1E293B"/>
                <w:sz w:val="18"/>
              </w:rPr>
              <w:t>LWT offline announcement and initial connection state</w:t>
            </w:r>
          </w:p>
        </w:tc>
      </w:tr>
      <w:tr>
        <w:tc>
          <w:tcPr>
            <w:tcW w:type="dxa" w:w="2160"/>
            <w:shd w:fill="F8FAFC"/>
            <w:tcMar>
              <w:top w:w="100" w:type="dxa"/>
              <w:bottom w:w="100" w:type="dxa"/>
              <w:left w:w="130" w:type="dxa"/>
              <w:right w:w="130" w:type="dxa"/>
            </w:tcMar>
          </w:tcPr>
          <w:p>
            <w:pPr>
              <w:spacing w:before="40" w:after="40" w:line="252" w:lineRule="auto"/>
            </w:pPr>
            <w:r>
              <w:rPr>
                <w:rFonts w:ascii="Calibri" w:hAnsi="Calibri"/>
                <w:b/>
                <w:color w:val="1E293B"/>
                <w:sz w:val="18"/>
              </w:rPr>
              <w:t>bci/rohan/heartbeat</w:t>
            </w:r>
          </w:p>
        </w:tc>
        <w:tc>
          <w:tcPr>
            <w:tcW w:type="dxa" w:w="1296"/>
            <w:shd w:fill="F8FAFC"/>
            <w:tcMar>
              <w:top w:w="100" w:type="dxa"/>
              <w:bottom w:w="100" w:type="dxa"/>
              <w:left w:w="130" w:type="dxa"/>
              <w:right w:w="130" w:type="dxa"/>
            </w:tcMar>
          </w:tcPr>
          <w:p>
            <w:pPr>
              <w:spacing w:before="40" w:after="40" w:line="252" w:lineRule="auto"/>
            </w:pPr>
            <w:r>
              <w:rPr>
                <w:rFonts w:ascii="Calibri" w:hAnsi="Calibri"/>
                <w:color w:val="1E293B"/>
                <w:sz w:val="18"/>
              </w:rPr>
              <w:t>Android Phone</w:t>
            </w:r>
          </w:p>
        </w:tc>
        <w:tc>
          <w:tcPr>
            <w:tcW w:type="dxa" w:w="1296"/>
            <w:shd w:fill="F8FAFC"/>
            <w:tcMar>
              <w:top w:w="100" w:type="dxa"/>
              <w:bottom w:w="100" w:type="dxa"/>
              <w:left w:w="130" w:type="dxa"/>
              <w:right w:w="130" w:type="dxa"/>
            </w:tcMar>
          </w:tcPr>
          <w:p>
            <w:pPr>
              <w:spacing w:before="40" w:after="40" w:line="252" w:lineRule="auto"/>
            </w:pPr>
            <w:r>
              <w:rPr>
                <w:rFonts w:ascii="Calibri" w:hAnsi="Calibri"/>
                <w:color w:val="1E293B"/>
                <w:sz w:val="18"/>
              </w:rPr>
              <w:t>MasterHub</w:t>
            </w:r>
          </w:p>
        </w:tc>
        <w:tc>
          <w:tcPr>
            <w:tcW w:type="dxa" w:w="576"/>
            <w:shd w:fill="F8FAFC"/>
            <w:tcMar>
              <w:top w:w="100" w:type="dxa"/>
              <w:bottom w:w="100" w:type="dxa"/>
              <w:left w:w="130" w:type="dxa"/>
              <w:right w:w="130" w:type="dxa"/>
            </w:tcMar>
          </w:tcPr>
          <w:p>
            <w:pPr>
              <w:spacing w:before="40" w:after="40" w:line="252" w:lineRule="auto"/>
            </w:pPr>
            <w:r>
              <w:rPr>
                <w:rFonts w:ascii="Calibri" w:hAnsi="Calibri"/>
                <w:color w:val="1E293B"/>
                <w:sz w:val="18"/>
              </w:rPr>
              <w:t>1</w:t>
            </w:r>
          </w:p>
        </w:tc>
        <w:tc>
          <w:tcPr>
            <w:tcW w:type="dxa" w:w="864"/>
            <w:shd w:fill="F8FAFC"/>
            <w:tcMar>
              <w:top w:w="100" w:type="dxa"/>
              <w:bottom w:w="100" w:type="dxa"/>
              <w:left w:w="130" w:type="dxa"/>
              <w:right w:w="130" w:type="dxa"/>
            </w:tcMar>
          </w:tcPr>
          <w:p>
            <w:pPr>
              <w:spacing w:before="40" w:after="40" w:line="252" w:lineRule="auto"/>
            </w:pPr>
            <w:r>
              <w:rPr>
                <w:rFonts w:ascii="Calibri" w:hAnsi="Calibri"/>
                <w:color w:val="1E293B"/>
                <w:sz w:val="18"/>
              </w:rPr>
              <w:t>False</w:t>
            </w:r>
          </w:p>
        </w:tc>
        <w:tc>
          <w:tcPr>
            <w:tcW w:type="dxa" w:w="3168"/>
            <w:shd w:fill="F8FAFC"/>
            <w:tcMar>
              <w:top w:w="100" w:type="dxa"/>
              <w:bottom w:w="100" w:type="dxa"/>
              <w:left w:w="130" w:type="dxa"/>
              <w:right w:w="130" w:type="dxa"/>
            </w:tcMar>
          </w:tcPr>
          <w:p>
            <w:pPr>
              <w:spacing w:before="40" w:after="40" w:line="252" w:lineRule="auto"/>
            </w:pPr>
            <w:r>
              <w:rPr>
                <w:rFonts w:ascii="Calibri" w:hAnsi="Calibri"/>
                <w:color w:val="1E293B"/>
                <w:sz w:val="18"/>
              </w:rPr>
              <w:t>5-second non-retained liveness ticker with accessibility state</w:t>
            </w:r>
          </w:p>
        </w:tc>
      </w:tr>
    </w:tbl>
    <w:p>
      <w:pPr>
        <w:spacing w:before="0" w:after="120"/>
      </w:pPr>
    </w:p>
    <w:p>
      <w:pPr>
        <w:keepNext/>
        <w:spacing w:before="280" w:after="120"/>
      </w:pPr>
      <w:r>
        <w:rPr>
          <w:rFonts w:ascii="Arial" w:hAnsi="Arial"/>
          <w:b/>
          <w:color w:val="0D9488"/>
          <w:sz w:val="26"/>
        </w:rPr>
        <w:t>4.2 Universal Command Envelope Specification</w:t>
      </w:r>
    </w:p>
    <w:p>
      <w:pPr>
        <w:spacing w:before="0" w:after="120" w:line="276" w:lineRule="auto"/>
        <w:jc w:val="both"/>
      </w:pPr>
      <w:r>
        <w:rPr>
          <w:rFonts w:ascii="Calibri" w:hAnsi="Calibri"/>
          <w:color w:val="1E293B"/>
          <w:sz w:val="21"/>
        </w:rPr>
        <w:t>Every command emitted by MasterHub contains a cryptographically unique UUIDv4 token and explicit timestamp boundaries. The phone validates these headers before attempting any hardware or application interaction.</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64748B"/>
              <w:top w:val="none"/>
              <w:right w:val="none"/>
              <w:bottom w:val="none"/>
            </w:tcBorders>
            <w:tcMar>
              <w:top w:w="100" w:type="dxa"/>
              <w:bottom w:w="100" w:type="dxa"/>
              <w:left w:w="140" w:type="dxa"/>
              <w:right w:w="120" w:type="dxa"/>
            </w:tcMar>
          </w:tcPr>
          <w:p>
            <w:pPr>
              <w:spacing w:before="0" w:after="0" w:line="252" w:lineRule="auto"/>
            </w:pPr>
            <w:r>
              <w:rPr>
                <w:rFonts w:ascii="Consolas" w:hAnsi="Consolas"/>
                <w:color w:val="0F172A"/>
                <w:sz w:val="17"/>
              </w:rPr>
              <w:t>{</w:t>
              <w:br/>
              <w:t xml:space="preserve">  "command": "Right_Next_Song",</w:t>
              <w:br/>
              <w:t xml:space="preserve">  "confidence": 0.88,</w:t>
              <w:br/>
              <w:t xml:space="preserve">  "Is_Actionable": true,</w:t>
              <w:br/>
              <w:t xml:space="preserve">  "query": "",</w:t>
              <w:br/>
              <w:t xml:space="preserve">  "command_id": "7f8b3c4a-9e12-4d56-b830-1a2b3c4d5e6f",</w:t>
              <w:br/>
              <w:t xml:space="preserve">  "issued_at": 1790000000000,</w:t>
              <w:br/>
              <w:t xml:space="preserve">  "expires_at": 1790000008000</w:t>
              <w:br/>
              <w:t>}</w:t>
            </w:r>
          </w:p>
        </w:tc>
      </w:tr>
    </w:tbl>
    <w:p>
      <w:pPr>
        <w:spacing w:before="0" w:after="120"/>
      </w:pPr>
    </w:p>
    <w:p>
      <w:pPr>
        <w:spacing w:before="0" w:after="120" w:line="276" w:lineRule="auto"/>
        <w:jc w:val="both"/>
      </w:pPr>
      <w:r>
        <w:rPr>
          <w:rFonts w:ascii="Calibri" w:hAnsi="Calibri"/>
          <w:color w:val="1E293B"/>
          <w:sz w:val="21"/>
        </w:rPr>
        <w:t>The header specification enforces four mathematical invariants:</w:t>
      </w:r>
    </w:p>
    <w:p>
      <w:pPr>
        <w:pStyle w:val="ListBullet"/>
        <w:spacing w:before="0" w:after="60" w:line="276" w:lineRule="auto"/>
      </w:pPr>
      <w:r>
        <w:rPr>
          <w:rFonts w:ascii="Calibri" w:hAnsi="Calibri"/>
          <w:b/>
          <w:color w:val="1E293B"/>
          <w:sz w:val="21"/>
        </w:rPr>
        <w:t xml:space="preserve">Idempotency Key: </w:t>
      </w:r>
      <w:r>
        <w:rPr>
          <w:rFonts w:ascii="Calibri" w:hAnsi="Calibri"/>
          <w:color w:val="1E293B"/>
          <w:sz w:val="21"/>
        </w:rPr>
        <w:t>command_id is an immutable string between 1 and 100 characters. Every command generated by MasterHub receives a fresh UUID.</w:t>
      </w:r>
    </w:p>
    <w:p>
      <w:pPr>
        <w:pStyle w:val="ListBullet"/>
        <w:spacing w:before="0" w:after="60" w:line="276" w:lineRule="auto"/>
      </w:pPr>
      <w:r>
        <w:rPr>
          <w:rFonts w:ascii="Calibri" w:hAnsi="Calibri"/>
          <w:b/>
          <w:color w:val="1E293B"/>
          <w:sz w:val="21"/>
        </w:rPr>
        <w:t xml:space="preserve">Actionable Flag: </w:t>
      </w:r>
      <w:r>
        <w:rPr>
          <w:rFonts w:ascii="Calibri" w:hAnsi="Calibri"/>
          <w:color w:val="1E293B"/>
          <w:sz w:val="21"/>
        </w:rPr>
        <w:t>Is_Actionable must evaluate strictly to boolean true. Non-actionable envelopes (e.g. diagnostics) are rejected by the parser.</w:t>
      </w:r>
    </w:p>
    <w:p>
      <w:pPr>
        <w:pStyle w:val="ListBullet"/>
        <w:spacing w:before="0" w:after="60" w:line="276" w:lineRule="auto"/>
      </w:pPr>
      <w:r>
        <w:rPr>
          <w:rFonts w:ascii="Calibri" w:hAnsi="Calibri"/>
          <w:b/>
          <w:color w:val="1E293B"/>
          <w:sz w:val="21"/>
        </w:rPr>
        <w:t xml:space="preserve">Confidence Bound: </w:t>
      </w:r>
      <w:r>
        <w:rPr>
          <w:rFonts w:ascii="Calibri" w:hAnsi="Calibri"/>
          <w:color w:val="1E293B"/>
          <w:sz w:val="21"/>
        </w:rPr>
        <w:t>confidence must be a finite IEEE 754 floating-point value within the closed interval [0.0, 1.0].</w:t>
      </w:r>
    </w:p>
    <w:p>
      <w:pPr>
        <w:pStyle w:val="ListBullet"/>
        <w:spacing w:before="0" w:after="60" w:line="276" w:lineRule="auto"/>
      </w:pPr>
      <w:r>
        <w:rPr>
          <w:rFonts w:ascii="Calibri" w:hAnsi="Calibri"/>
          <w:b/>
          <w:color w:val="1E293B"/>
          <w:sz w:val="21"/>
        </w:rPr>
        <w:t xml:space="preserve">Temporal Validity Window: </w:t>
      </w:r>
      <w:r>
        <w:rPr>
          <w:rFonts w:ascii="Calibri" w:hAnsi="Calibri"/>
          <w:color w:val="1E293B"/>
          <w:sz w:val="21"/>
        </w:rPr>
        <w:t>The command lifetime (expires_at - issued_at) cannot exceed 60,000 ms (default: 8,000 ms). Furthermore, to tolerate minor Network Time Protocol (NTP) clock skew, issued_at is permitted up to 30,000 ms in the future relative to the phone's clock.</w:t>
      </w:r>
    </w:p>
    <w:p>
      <w:pPr>
        <w:keepNext/>
        <w:spacing w:before="280" w:after="120"/>
      </w:pPr>
      <w:r>
        <w:rPr>
          <w:rFonts w:ascii="Arial" w:hAnsi="Arial"/>
          <w:b/>
          <w:color w:val="0D9488"/>
          <w:sz w:val="26"/>
        </w:rPr>
        <w:t>4.3 Command Correlation, Deduplication &amp; At-Most-Once Semantics</w:t>
      </w:r>
    </w:p>
    <w:p>
      <w:pPr>
        <w:spacing w:before="0" w:after="120" w:line="276" w:lineRule="auto"/>
        <w:jc w:val="both"/>
      </w:pPr>
      <w:r>
        <w:rPr>
          <w:rFonts w:ascii="Calibri" w:hAnsi="Calibri"/>
          <w:color w:val="1E293B"/>
          <w:sz w:val="21"/>
        </w:rPr>
        <w:t>Network fluctuations often cause MQTT QoS 1 retries. If a playback toggle (Right_Play_Pause) or skip track (Right_Next_Song) is executed twice due to transport retransmission, the track skips twice or pauses immediately after resuming. To guarantee strict at-most-once execution semantics, the Android companion implements a persistent transaction ledger:</w:t>
      </w:r>
    </w:p>
    <w:p>
      <w:pPr>
        <w:pStyle w:val="ListBullet"/>
        <w:spacing w:before="0" w:after="60" w:line="276" w:lineRule="auto"/>
      </w:pPr>
      <w:r>
        <w:rPr>
          <w:rFonts w:ascii="Calibri" w:hAnsi="Calibri"/>
          <w:b/>
          <w:color w:val="1E293B"/>
          <w:sz w:val="21"/>
        </w:rPr>
        <w:t xml:space="preserve">1. Pre-Execution Persistence: </w:t>
      </w:r>
      <w:r>
        <w:rPr>
          <w:rFonts w:ascii="Calibri" w:hAnsi="Calibri"/>
          <w:color w:val="1E293B"/>
          <w:sz w:val="21"/>
        </w:rPr>
        <w:t>Upon receiving a message, the worker thread immediately queries the local command-history SharedPreferences database. If command_id already exists, the phone re-publishes the previously recorded ACK and aborts execution immediately.</w:t>
      </w:r>
    </w:p>
    <w:p>
      <w:pPr>
        <w:pStyle w:val="ListBullet"/>
        <w:spacing w:before="0" w:after="60" w:line="276" w:lineRule="auto"/>
      </w:pPr>
      <w:r>
        <w:rPr>
          <w:rFonts w:ascii="Calibri" w:hAnsi="Calibri"/>
          <w:b/>
          <w:color w:val="1E293B"/>
          <w:sz w:val="21"/>
        </w:rPr>
        <w:t xml:space="preserve">2. Crash-Proof Tentative Staging: </w:t>
      </w:r>
      <w:r>
        <w:rPr>
          <w:rFonts w:ascii="Calibri" w:hAnsi="Calibri"/>
          <w:color w:val="1E293B"/>
          <w:sz w:val="21"/>
        </w:rPr>
        <w:t>If the ID is new, an UNCONFIRMED entry is synchronously written to flash memory (commit() rather than apply()). If the app crashes midway through execution, subsequent boots will not re-execute the ambiguous command.</w:t>
      </w:r>
    </w:p>
    <w:p>
      <w:pPr>
        <w:pStyle w:val="ListBullet"/>
        <w:spacing w:before="0" w:after="60" w:line="276" w:lineRule="auto"/>
      </w:pPr>
      <w:r>
        <w:rPr>
          <w:rFonts w:ascii="Calibri" w:hAnsi="Calibri"/>
          <w:b/>
          <w:color w:val="1E293B"/>
          <w:sz w:val="21"/>
        </w:rPr>
        <w:t xml:space="preserve">3. Post-Execution Finalization: </w:t>
      </w:r>
      <w:r>
        <w:rPr>
          <w:rFonts w:ascii="Calibri" w:hAnsi="Calibri"/>
          <w:color w:val="1E293B"/>
          <w:sz w:val="21"/>
        </w:rPr>
        <w:t>Following media engine verification, the definitive result (EXECUTED or FAILED) overwrites the tentative ledger entry and is published to the ACK topic.</w:t>
      </w:r>
    </w:p>
    <w:p>
      <w:pPr>
        <w:keepNext/>
        <w:spacing w:before="280" w:after="120"/>
      </w:pPr>
      <w:r>
        <w:rPr>
          <w:rFonts w:ascii="Arial" w:hAnsi="Arial"/>
          <w:b/>
          <w:color w:val="0D9488"/>
          <w:sz w:val="26"/>
        </w:rPr>
        <w:t>4.4 Execution Acknowledgement (ACK) Envelope</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64748B"/>
              <w:top w:val="none"/>
              <w:right w:val="none"/>
              <w:bottom w:val="none"/>
            </w:tcBorders>
            <w:tcMar>
              <w:top w:w="100" w:type="dxa"/>
              <w:bottom w:w="100" w:type="dxa"/>
              <w:left w:w="140" w:type="dxa"/>
              <w:right w:w="120" w:type="dxa"/>
            </w:tcMar>
          </w:tcPr>
          <w:p>
            <w:pPr>
              <w:spacing w:before="0" w:after="0" w:line="252" w:lineRule="auto"/>
            </w:pPr>
            <w:r>
              <w:rPr>
                <w:rFonts w:ascii="Consolas" w:hAnsi="Consolas"/>
                <w:color w:val="0F172A"/>
                <w:sz w:val="17"/>
              </w:rPr>
              <w:t>{</w:t>
              <w:br/>
              <w:t xml:space="preserve">  "command_id": "7f8b3c4a-9e12-4d56-b830-1a2b3c4d5e6f",</w:t>
              <w:br/>
              <w:t xml:space="preserve">  "command": "Right_Next_Song",</w:t>
              <w:br/>
              <w:t xml:space="preserve">  "status": "EXECUTED",</w:t>
              <w:br/>
              <w:t xml:space="preserve">  "method": "MediaController",</w:t>
              <w:br/>
              <w:t xml:space="preserve">  "detail": "Playback state change observed",</w:t>
              <w:br/>
              <w:t xml:space="preserve">  "timestamp": 1790000001420</w:t>
              <w:br/>
              <w:t>}</w:t>
            </w:r>
          </w:p>
        </w:tc>
      </w:tr>
    </w:tbl>
    <w:p>
      <w:pPr>
        <w:spacing w:before="0" w:after="120"/>
      </w:pPr>
    </w:p>
    <w:p>
      <w:pPr>
        <w:spacing w:before="0" w:after="120" w:line="276" w:lineRule="auto"/>
        <w:jc w:val="both"/>
      </w:pPr>
      <w:r>
        <w:rPr>
          <w:rFonts w:ascii="Calibri" w:hAnsi="Calibri"/>
          <w:color w:val="1E293B"/>
          <w:sz w:val="21"/>
        </w:rPr>
        <w:t>The status field adheres to a strict four-state ontology: EXECUTED (action positively confirmed via metadata/state change), UNCONFIRMED (action dispatched to OS, but state change was unobserved within deadline), FAILED (exception, missing session, or uninstalled app), or REJECTED (command arrived after expires_at timestamp).</w:t>
      </w:r>
    </w:p>
    <w:p>
      <w:r>
        <w:br w:type="page"/>
      </w:r>
    </w:p>
    <w:p>
      <w:pPr>
        <w:keepNext/>
        <w:spacing w:before="360" w:after="160"/>
      </w:pPr>
      <w:r>
        <w:rPr>
          <w:rFonts w:ascii="Arial" w:hAnsi="Arial"/>
          <w:b/>
          <w:color w:val="1E3A8A"/>
          <w:sz w:val="36"/>
        </w:rPr>
        <w:t>Chapter 5: Android Mobile Companion Application Architecture</w:t>
      </w:r>
    </w:p>
    <w:p>
      <w:pPr>
        <w:keepNext/>
        <w:spacing w:before="280" w:after="120"/>
      </w:pPr>
      <w:r>
        <w:rPr>
          <w:rFonts w:ascii="Arial" w:hAnsi="Arial"/>
          <w:b/>
          <w:color w:val="0D9488"/>
          <w:sz w:val="26"/>
        </w:rPr>
        <w:t>5.1 Operating System Compliance &amp; Architecture</w:t>
      </w:r>
    </w:p>
    <w:p>
      <w:pPr>
        <w:spacing w:before="0" w:after="120" w:line="276" w:lineRule="auto"/>
        <w:jc w:val="both"/>
      </w:pPr>
      <w:r>
        <w:rPr>
          <w:rFonts w:ascii="Calibri" w:hAnsi="Calibri"/>
          <w:color w:val="1E293B"/>
          <w:sz w:val="21"/>
        </w:rPr>
        <w:t>The mobile application com.masterhub.bci is engineered with zero external native dependencies, relying exclusively on Kotlin 1.9, the standard Android Framework SDK, and the Eclipse Paho MQTT client (v1.2.5). The application targets API 35 (Android 15) with a backward compatibility floor of API 26 (Android 8.0 Oreo).</w:t>
      </w:r>
    </w:p>
    <w:p>
      <w:pPr>
        <w:spacing w:before="160" w:after="80"/>
        <w:jc w:val="center"/>
      </w:pPr>
      <w:r>
        <w:drawing>
          <wp:inline xmlns:a="http://schemas.openxmlformats.org/drawingml/2006/main" xmlns:pic="http://schemas.openxmlformats.org/drawingml/2006/picture">
            <wp:extent cx="5486400" cy="3017520"/>
            <wp:docPr id="3" name="Picture 3"/>
            <wp:cNvGraphicFramePr>
              <a:graphicFrameLocks noChangeAspect="1"/>
            </wp:cNvGraphicFramePr>
            <a:graphic>
              <a:graphicData uri="http://schemas.openxmlformats.org/drawingml/2006/picture">
                <pic:pic>
                  <pic:nvPicPr>
                    <pic:cNvPr id="0" name="fsm_lifecycle.png"/>
                    <pic:cNvPicPr/>
                  </pic:nvPicPr>
                  <pic:blipFill>
                    <a:blip r:embed="rId13"/>
                    <a:stretch>
                      <a:fillRect/>
                    </a:stretch>
                  </pic:blipFill>
                  <pic:spPr>
                    <a:xfrm>
                      <a:off x="0" y="0"/>
                      <a:ext cx="5486400" cy="3017520"/>
                    </a:xfrm>
                    <a:prstGeom prst="rect"/>
                  </pic:spPr>
                </pic:pic>
              </a:graphicData>
            </a:graphic>
          </wp:inline>
        </w:drawing>
      </w:r>
    </w:p>
    <w:p>
      <w:pPr>
        <w:spacing w:before="40" w:after="240"/>
        <w:jc w:val="center"/>
      </w:pPr>
      <w:r>
        <w:rPr>
          <w:rFonts w:ascii="Calibri" w:hAnsi="Calibri"/>
          <w:b/>
          <w:i/>
          <w:color w:val="475569"/>
          <w:sz w:val="18"/>
        </w:rPr>
        <w:t>Figure 3: Android RemoteService Finite State Machine (FSM) Lifecycle.</w:t>
      </w:r>
    </w:p>
    <w:p>
      <w:pPr>
        <w:keepNext/>
        <w:spacing w:before="280" w:after="120"/>
      </w:pPr>
      <w:r>
        <w:rPr>
          <w:rFonts w:ascii="Arial" w:hAnsi="Arial"/>
          <w:b/>
          <w:color w:val="0D9488"/>
          <w:sz w:val="26"/>
        </w:rPr>
        <w:t>5.2 Foreground Service &amp; 'specialUse' Declaration</w:t>
      </w:r>
    </w:p>
    <w:p>
      <w:pPr>
        <w:spacing w:before="0" w:after="120" w:line="276" w:lineRule="auto"/>
        <w:jc w:val="both"/>
      </w:pPr>
      <w:r>
        <w:rPr>
          <w:rFonts w:ascii="Calibri" w:hAnsi="Calibri"/>
          <w:color w:val="1E293B"/>
          <w:sz w:val="21"/>
        </w:rPr>
        <w:t>To prevent process termination by the Android Low Memory Killer (LMK) or Doze Mode battery saver, the companion runs RemoteService as a persistent Foreground Service. Under Android 14+ requirements, foreground services must declare a specific operational category. Because this application performs assistive automation rather than local audio decoding, it declares foregroundServiceType='specialUse' in the AndroidManifest.xml, accompanied by an explicit operational description property:</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64748B"/>
              <w:top w:val="none"/>
              <w:right w:val="none"/>
              <w:bottom w:val="none"/>
            </w:tcBorders>
            <w:tcMar>
              <w:top w:w="100" w:type="dxa"/>
              <w:bottom w:w="100" w:type="dxa"/>
              <w:left w:w="140" w:type="dxa"/>
              <w:right w:w="120" w:type="dxa"/>
            </w:tcMar>
          </w:tcPr>
          <w:p>
            <w:pPr>
              <w:spacing w:before="0" w:after="0" w:line="252" w:lineRule="auto"/>
            </w:pPr>
            <w:r>
              <w:rPr>
                <w:rFonts w:ascii="Consolas" w:hAnsi="Consolas"/>
                <w:color w:val="0F172A"/>
                <w:sz w:val="17"/>
              </w:rPr>
              <w:t xml:space="preserve">&lt;service android:name=".RemoteService" </w:t>
              <w:br/>
              <w:t xml:space="preserve">    android:exported="false" </w:t>
              <w:br/>
              <w:t xml:space="preserve">    android:foregroundServiceType="specialUse"&gt;</w:t>
              <w:br/>
              <w:t xml:space="preserve">    &lt;property android:name="android.app.PROPERTY_SPECIAL_USE_FGS_SUBTYPE"</w:t>
              <w:br/>
              <w:t xml:space="preserve">        android:value="User-started assistive BCI remote control of installed music app through MQTT, with visible stop control" /&gt;</w:t>
              <w:br/>
              <w:t>&lt;/service&gt;</w:t>
            </w:r>
          </w:p>
        </w:tc>
      </w:tr>
    </w:tbl>
    <w:p>
      <w:pPr>
        <w:spacing w:before="0" w:after="120"/>
      </w:pPr>
    </w:p>
    <w:p>
      <w:pPr>
        <w:spacing w:before="0" w:after="120" w:line="276" w:lineRule="auto"/>
        <w:jc w:val="both"/>
      </w:pPr>
      <w:r>
        <w:rPr>
          <w:rFonts w:ascii="Calibri" w:hAnsi="Calibri"/>
          <w:color w:val="1E293B"/>
          <w:sz w:val="21"/>
        </w:rPr>
        <w:t>When active, RemoteService displays a persistent notification in the Android system shade. The notification features an immediate 'Stop' action button, satisfying Google's user safety mandate by granting the operator immediate manual override capability to sever MQTT connectivity.</w:t>
      </w:r>
    </w:p>
    <w:p>
      <w:pPr>
        <w:keepNext/>
        <w:spacing w:before="280" w:after="120"/>
      </w:pPr>
      <w:r>
        <w:rPr>
          <w:rFonts w:ascii="Arial" w:hAnsi="Arial"/>
          <w:b/>
          <w:color w:val="0D9488"/>
          <w:sz w:val="26"/>
        </w:rPr>
        <w:t>5.3 Visual Interface &amp; Setup Walkthrough</w:t>
      </w:r>
    </w:p>
    <w:p>
      <w:pPr>
        <w:spacing w:before="0" w:after="120" w:line="276" w:lineRule="auto"/>
        <w:jc w:val="both"/>
      </w:pPr>
      <w:r>
        <w:rPr>
          <w:rFonts w:ascii="Calibri" w:hAnsi="Calibri"/>
          <w:color w:val="1E293B"/>
          <w:sz w:val="21"/>
        </w:rPr>
        <w:t>The companion application's user interface is designed for rapid configuration, diagnostic transparency, and direct permission onboarding. Figure 4 showcases the setup and configuration screen, while Figure 5 showcases the active runtime dashboard.</w:t>
      </w:r>
    </w:p>
    <w:p>
      <w:pPr>
        <w:spacing w:before="160" w:after="80"/>
        <w:jc w:val="center"/>
      </w:pPr>
      <w:r>
        <w:drawing>
          <wp:inline xmlns:a="http://schemas.openxmlformats.org/drawingml/2006/main" xmlns:pic="http://schemas.openxmlformats.org/drawingml/2006/picture">
            <wp:extent cx="3108960" cy="5570220"/>
            <wp:docPr id="4" name="Picture 4"/>
            <wp:cNvGraphicFramePr>
              <a:graphicFrameLocks noChangeAspect="1"/>
            </wp:cNvGraphicFramePr>
            <a:graphic>
              <a:graphicData uri="http://schemas.openxmlformats.org/drawingml/2006/picture">
                <pic:pic>
                  <pic:nvPicPr>
                    <pic:cNvPr id="0" name="mobile_setup_screen_1790322836605.jpg"/>
                    <pic:cNvPicPr/>
                  </pic:nvPicPr>
                  <pic:blipFill>
                    <a:blip r:embed="rId14"/>
                    <a:stretch>
                      <a:fillRect/>
                    </a:stretch>
                  </pic:blipFill>
                  <pic:spPr>
                    <a:xfrm>
                      <a:off x="0" y="0"/>
                      <a:ext cx="3108960" cy="5570220"/>
                    </a:xfrm>
                    <a:prstGeom prst="rect"/>
                  </pic:spPr>
                </pic:pic>
              </a:graphicData>
            </a:graphic>
          </wp:inline>
        </w:drawing>
      </w:r>
    </w:p>
    <w:p>
      <w:pPr>
        <w:spacing w:before="40" w:after="240"/>
        <w:jc w:val="center"/>
      </w:pPr>
      <w:r>
        <w:rPr>
          <w:rFonts w:ascii="Calibri" w:hAnsi="Calibri"/>
          <w:b/>
          <w:i/>
          <w:color w:val="475569"/>
          <w:sz w:val="18"/>
        </w:rPr>
        <w:t>Figure 4: Android Companion Application Setup &amp; Configuration Screen.</w:t>
      </w:r>
    </w:p>
    <w:p>
      <w:pPr>
        <w:spacing w:before="160" w:after="80"/>
        <w:jc w:val="center"/>
      </w:pPr>
      <w:r>
        <w:drawing>
          <wp:inline xmlns:a="http://schemas.openxmlformats.org/drawingml/2006/main" xmlns:pic="http://schemas.openxmlformats.org/drawingml/2006/picture">
            <wp:extent cx="3108960" cy="5570220"/>
            <wp:docPr id="5" name="Picture 5"/>
            <wp:cNvGraphicFramePr>
              <a:graphicFrameLocks noChangeAspect="1"/>
            </wp:cNvGraphicFramePr>
            <a:graphic>
              <a:graphicData uri="http://schemas.openxmlformats.org/drawingml/2006/picture">
                <pic:pic>
                  <pic:nvPicPr>
                    <pic:cNvPr id="0" name="mobile_app_dashboard_1790322816277.jpg"/>
                    <pic:cNvPicPr/>
                  </pic:nvPicPr>
                  <pic:blipFill>
                    <a:blip r:embed="rId15"/>
                    <a:stretch>
                      <a:fillRect/>
                    </a:stretch>
                  </pic:blipFill>
                  <pic:spPr>
                    <a:xfrm>
                      <a:off x="0" y="0"/>
                      <a:ext cx="3108960" cy="5570220"/>
                    </a:xfrm>
                    <a:prstGeom prst="rect"/>
                  </pic:spPr>
                </pic:pic>
              </a:graphicData>
            </a:graphic>
          </wp:inline>
        </w:drawing>
      </w:r>
    </w:p>
    <w:p>
      <w:pPr>
        <w:spacing w:before="40" w:after="240"/>
        <w:jc w:val="center"/>
      </w:pPr>
      <w:r>
        <w:rPr>
          <w:rFonts w:ascii="Calibri" w:hAnsi="Calibri"/>
          <w:b/>
          <w:i/>
          <w:color w:val="475569"/>
          <w:sz w:val="18"/>
        </w:rPr>
        <w:t>Figure 5: Android Companion Active Runtime Dashboard &amp; Live Diagnostic Log Screen.</w:t>
      </w:r>
    </w:p>
    <w:p>
      <w:pPr>
        <w:spacing w:before="0" w:after="120" w:line="276" w:lineRule="auto"/>
        <w:jc w:val="both"/>
      </w:pPr>
      <w:r>
        <w:rPr>
          <w:rFonts w:ascii="Calibri" w:hAnsi="Calibri"/>
          <w:color w:val="1E293B"/>
          <w:sz w:val="21"/>
        </w:rPr>
        <w:t>As displayed in Figure 4 and Figure 5, the operator screen provides real-time visibility into all key system parameters: MQTT Broker connection state, active topic prefix, Media Session binding status, Accessibility Service availability, and a real-time rolling diagnostic feed capturing every executed command, latency metric, and fallback tier invocation.</w:t>
      </w:r>
    </w:p>
    <w:p>
      <w:r>
        <w:br w:type="page"/>
      </w:r>
    </w:p>
    <w:p>
      <w:pPr>
        <w:keepNext/>
        <w:spacing w:before="360" w:after="160"/>
      </w:pPr>
      <w:r>
        <w:rPr>
          <w:rFonts w:ascii="Arial" w:hAnsi="Arial"/>
          <w:b/>
          <w:color w:val="1E3A8A"/>
          <w:sz w:val="36"/>
        </w:rPr>
        <w:t>Chapter 6: Dual-Tier Media Execution Engine &amp; Verification Heuristics</w:t>
      </w:r>
    </w:p>
    <w:p>
      <w:pPr>
        <w:keepNext/>
        <w:spacing w:before="280" w:after="120"/>
      </w:pPr>
      <w:r>
        <w:rPr>
          <w:rFonts w:ascii="Arial" w:hAnsi="Arial"/>
          <w:b/>
          <w:color w:val="0D9488"/>
          <w:sz w:val="26"/>
        </w:rPr>
        <w:t>6.1 Tier 1: Native MediaSessionManager &amp; MediaController Routing</w:t>
      </w:r>
    </w:p>
    <w:p>
      <w:pPr>
        <w:spacing w:before="0" w:after="120" w:line="276" w:lineRule="auto"/>
        <w:jc w:val="both"/>
      </w:pPr>
      <w:r>
        <w:rPr>
          <w:rFonts w:ascii="Calibri" w:hAnsi="Calibri"/>
          <w:color w:val="1E293B"/>
          <w:sz w:val="21"/>
        </w:rPr>
        <w:t>The primary execution pipeline (MediaEngine.kt) operates at the Android OS inter-process media bus layer. When a media playback command (NEXT, PREVIOUS, PLAY_PAUSE) arrives, MediaEngine queries the MediaSessionManager:</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64748B"/>
              <w:top w:val="none"/>
              <w:right w:val="none"/>
              <w:bottom w:val="none"/>
            </w:tcBorders>
            <w:tcMar>
              <w:top w:w="100" w:type="dxa"/>
              <w:bottom w:w="100" w:type="dxa"/>
              <w:left w:w="140" w:type="dxa"/>
              <w:right w:w="120" w:type="dxa"/>
            </w:tcMar>
          </w:tcPr>
          <w:p>
            <w:pPr>
              <w:spacing w:before="0" w:after="0" w:line="252" w:lineRule="auto"/>
            </w:pPr>
            <w:r>
              <w:rPr>
                <w:rFonts w:ascii="Consolas" w:hAnsi="Consolas"/>
                <w:color w:val="0F172A"/>
                <w:sz w:val="17"/>
              </w:rPr>
              <w:t>private fun controller(): MediaController? = try {</w:t>
              <w:br/>
              <w:t xml:space="preserve">    context.getSystemService(MediaSessionManager::class.java)</w:t>
              <w:br/>
              <w:t xml:space="preserve">        .getActiveSessions(ComponentName(context, MediaListener::class.java))</w:t>
              <w:br/>
              <w:t xml:space="preserve">        .firstOrNull { it.packageName == "com.jio.media.jiobeats" }</w:t>
              <w:br/>
              <w:t>} catch (_: SecurityException) { null }</w:t>
            </w:r>
          </w:p>
        </w:tc>
      </w:tr>
    </w:tbl>
    <w:p>
      <w:pPr>
        <w:spacing w:before="0" w:after="120"/>
      </w:pPr>
    </w:p>
    <w:p>
      <w:pPr>
        <w:spacing w:before="0" w:after="120" w:line="276" w:lineRule="auto"/>
        <w:jc w:val="both"/>
      </w:pPr>
      <w:r>
        <w:rPr>
          <w:rFonts w:ascii="Calibri" w:hAnsi="Calibri"/>
          <w:color w:val="1E293B"/>
          <w:sz w:val="21"/>
        </w:rPr>
        <w:t>Acquiring the MediaController directly exposes the TransportControls interface of JioSaavn. Before calling any control method, MediaEngine verifies that JioSaavn's current PlaybackState advertises support for the requested action (e.g., PlaybackState.ACTION_SKIP_TO_NEXT or PlaybackState.ACTION_PAUSE). This prevents illegal state exceptions.</w:t>
      </w:r>
    </w:p>
    <w:p>
      <w:pPr>
        <w:spacing w:before="160" w:after="80"/>
        <w:jc w:val="center"/>
      </w:pPr>
      <w:r>
        <w:drawing>
          <wp:inline xmlns:a="http://schemas.openxmlformats.org/drawingml/2006/main" xmlns:pic="http://schemas.openxmlformats.org/drawingml/2006/picture">
            <wp:extent cx="5669280" cy="3607724"/>
            <wp:docPr id="6" name="Picture 6"/>
            <wp:cNvGraphicFramePr>
              <a:graphicFrameLocks noChangeAspect="1"/>
            </wp:cNvGraphicFramePr>
            <a:graphic>
              <a:graphicData uri="http://schemas.openxmlformats.org/drawingml/2006/picture">
                <pic:pic>
                  <pic:nvPicPr>
                    <pic:cNvPr id="0" name="dual_tier_flowchart.png"/>
                    <pic:cNvPicPr/>
                  </pic:nvPicPr>
                  <pic:blipFill>
                    <a:blip r:embed="rId16"/>
                    <a:stretch>
                      <a:fillRect/>
                    </a:stretch>
                  </pic:blipFill>
                  <pic:spPr>
                    <a:xfrm>
                      <a:off x="0" y="0"/>
                      <a:ext cx="5669280" cy="3607724"/>
                    </a:xfrm>
                    <a:prstGeom prst="rect"/>
                  </pic:spPr>
                </pic:pic>
              </a:graphicData>
            </a:graphic>
          </wp:inline>
        </w:drawing>
      </w:r>
    </w:p>
    <w:p>
      <w:pPr>
        <w:spacing w:before="40" w:after="240"/>
        <w:jc w:val="center"/>
      </w:pPr>
      <w:r>
        <w:rPr>
          <w:rFonts w:ascii="Calibri" w:hAnsi="Calibri"/>
          <w:b/>
          <w:i/>
          <w:color w:val="475569"/>
          <w:sz w:val="18"/>
        </w:rPr>
        <w:t>Figure 6: Dual-Tier Command Execution &amp; Verification Flowchart.</w:t>
      </w:r>
    </w:p>
    <w:p>
      <w:pPr>
        <w:keepNext/>
        <w:spacing w:before="280" w:after="120"/>
      </w:pPr>
      <w:r>
        <w:rPr>
          <w:rFonts w:ascii="Arial" w:hAnsi="Arial"/>
          <w:b/>
          <w:color w:val="0D9488"/>
          <w:sz w:val="26"/>
        </w:rPr>
        <w:t>6.2 Bounded Observation Loop &amp; State Change Verification</w:t>
      </w:r>
    </w:p>
    <w:p>
      <w:pPr>
        <w:spacing w:before="0" w:after="120" w:line="276" w:lineRule="auto"/>
        <w:jc w:val="both"/>
      </w:pPr>
      <w:r>
        <w:rPr>
          <w:rFonts w:ascii="Calibri" w:hAnsi="Calibri"/>
          <w:color w:val="1E293B"/>
          <w:sz w:val="21"/>
        </w:rPr>
        <w:t>A critical flaw in naive remote control implementations is assuming command transmission equals successful execution. MediaEngine implements a deterministic verification loop: it records the active track title, unique media ID, and playback state before dispatching the transport call. It then enters a bounded observation loop (8 iterations * 250 ms = 2,000 ms total window) polling the session state. If a title change, media ID mutation, or play/pause state transition is detected, it returns EXECUTED. If the 2-second timeout expires without state transition, it returns UNCONFIRMED without auto-retrying, preventing double-skip race conditions.</w:t>
      </w:r>
    </w:p>
    <w:p>
      <w:pPr>
        <w:keepNext/>
        <w:spacing w:before="280" w:after="120"/>
      </w:pPr>
      <w:r>
        <w:rPr>
          <w:rFonts w:ascii="Arial" w:hAnsi="Arial"/>
          <w:b/>
          <w:color w:val="0D9488"/>
          <w:sz w:val="26"/>
        </w:rPr>
        <w:t>6.3 Tier 2: Accessibility Node Automation Fallback</w:t>
      </w:r>
    </w:p>
    <w:p>
      <w:pPr>
        <w:spacing w:before="0" w:after="120" w:line="276" w:lineRule="auto"/>
        <w:jc w:val="both"/>
      </w:pPr>
      <w:r>
        <w:rPr>
          <w:rFonts w:ascii="Calibri" w:hAnsi="Calibri"/>
          <w:color w:val="1E293B"/>
          <w:sz w:val="21"/>
        </w:rPr>
        <w:t>If JioSaavn's background media session has been destroyed (e.g., after extended idle pause), the primary MediaController returns null. MediaEngine automatically falls back to Tier 2: BciAccessibilityService. The service traverses the active window node hierarchy, searching for visible UI elements whose text or contentDescription matches known playback controls ('Next', 'Previous', 'Play', 'Pause'). Once located, it walks up the node hierarchy up to 4 ancestors to locate a clickable parent and executes AccessibilityNodeInfo.ACTION_CLICK.</w:t>
      </w:r>
    </w:p>
    <w:p>
      <w:pPr>
        <w:keepNext/>
        <w:spacing w:before="280" w:after="120"/>
      </w:pPr>
      <w:r>
        <w:rPr>
          <w:rFonts w:ascii="Arial" w:hAnsi="Arial"/>
          <w:b/>
          <w:color w:val="0D9488"/>
          <w:sz w:val="26"/>
        </w:rPr>
        <w:t>6.4 System Volume &amp; Global Navigation</w:t>
      </w:r>
    </w:p>
    <w:p>
      <w:pPr>
        <w:spacing w:before="0" w:after="120" w:line="276" w:lineRule="auto"/>
        <w:jc w:val="both"/>
      </w:pPr>
      <w:r>
        <w:rPr>
          <w:rFonts w:ascii="Calibri" w:hAnsi="Calibri"/>
          <w:color w:val="1E293B"/>
          <w:sz w:val="21"/>
        </w:rPr>
        <w:t>Audio volume adjustments bypass application UI entirely, operating directly on the Android hardware mixer via AudioManager.adjustStreamVolume() on AudioManager.STREAM_MUSIC. This ensures smooth volume steps regardless of what application view is open. Similarly, Return Home invokes AccessibilityService.performGlobalAction(GLOBAL_ACTION_HOME), cleanly collapsing the current app and returning the user to the Android home launcher.</w:t>
      </w:r>
    </w:p>
    <w:p>
      <w:r>
        <w:br w:type="page"/>
      </w:r>
    </w:p>
    <w:p>
      <w:pPr>
        <w:keepNext/>
        <w:spacing w:before="360" w:after="160"/>
      </w:pPr>
      <w:r>
        <w:rPr>
          <w:rFonts w:ascii="Arial" w:hAnsi="Arial"/>
          <w:b/>
          <w:color w:val="1E3A8A"/>
          <w:sz w:val="36"/>
        </w:rPr>
        <w:t>Chapter 7: MasterHub IoT Backend Integration &amp; Action Routing</w:t>
      </w:r>
    </w:p>
    <w:p>
      <w:pPr>
        <w:keepNext/>
        <w:spacing w:before="280" w:after="120"/>
      </w:pPr>
      <w:r>
        <w:rPr>
          <w:rFonts w:ascii="Arial" w:hAnsi="Arial"/>
          <w:b/>
          <w:color w:val="0D9488"/>
          <w:sz w:val="26"/>
        </w:rPr>
        <w:t>7.1 Action Router Preemption Architecture</w:t>
      </w:r>
    </w:p>
    <w:p>
      <w:pPr>
        <w:spacing w:before="0" w:after="120" w:line="276" w:lineRule="auto"/>
        <w:jc w:val="both"/>
      </w:pPr>
      <w:r>
        <w:rPr>
          <w:rFonts w:ascii="Calibri" w:hAnsi="Calibri"/>
          <w:color w:val="1E293B"/>
          <w:sz w:val="21"/>
        </w:rPr>
        <w:t>Within MasterHub, actions/ai_ml/handler.py manages all higher-order AI and media routing. In legacy versions, media commands were forwarded to a selected desktop PC target (PC_MEDIA or PC_OTHER). To integrate the mobile companion without breaking existing desktop workflows, actions/ai_ml/handler.py implements strict preemption: all actions prefixed with mobile_jiosaavn_* are routed directly to the dedicated mobile translation module prior to any PC target evaluation:</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64748B"/>
              <w:top w:val="none"/>
              <w:right w:val="none"/>
              <w:bottom w:val="none"/>
            </w:tcBorders>
            <w:tcMar>
              <w:top w:w="100" w:type="dxa"/>
              <w:bottom w:w="100" w:type="dxa"/>
              <w:left w:w="140" w:type="dxa"/>
              <w:right w:w="120" w:type="dxa"/>
            </w:tcMar>
          </w:tcPr>
          <w:p>
            <w:pPr>
              <w:spacing w:before="0" w:after="0" w:line="252" w:lineRule="auto"/>
            </w:pPr>
            <w:r>
              <w:rPr>
                <w:rFonts w:ascii="Consolas" w:hAnsi="Consolas"/>
                <w:color w:val="0F172A"/>
                <w:sz w:val="17"/>
              </w:rPr>
              <w:t>if action.startswith('mobile_jiosaavn_'):</w:t>
              <w:br/>
              <w:t xml:space="preserve">    from actions.media_jiosaavn_mobile import execute as execute_mobile</w:t>
              <w:br/>
              <w:t xml:space="preserve">    return execute_mobile(action, params)</w:t>
            </w:r>
          </w:p>
        </w:tc>
      </w:tr>
    </w:tbl>
    <w:p>
      <w:pPr>
        <w:spacing w:before="0" w:after="120"/>
      </w:pPr>
    </w:p>
    <w:p>
      <w:pPr>
        <w:keepNext/>
        <w:spacing w:before="280" w:after="120"/>
      </w:pPr>
      <w:r>
        <w:rPr>
          <w:rFonts w:ascii="Arial" w:hAnsi="Arial"/>
          <w:b/>
          <w:color w:val="0D9488"/>
          <w:sz w:val="26"/>
        </w:rPr>
        <w:t>7.2 Mobile MQTT Service &amp; Liveness Telemetry</w:t>
      </w:r>
    </w:p>
    <w:p>
      <w:pPr>
        <w:spacing w:before="0" w:after="120" w:line="276" w:lineRule="auto"/>
        <w:jc w:val="both"/>
      </w:pPr>
      <w:r>
        <w:rPr>
          <w:rFonts w:ascii="Calibri" w:hAnsi="Calibri"/>
          <w:color w:val="1E293B"/>
          <w:sz w:val="21"/>
        </w:rPr>
        <w:t>The mobile service (services/mobile_mqtt_service.py) encapsulates the Paho Python MQTT client. It features automatic thread-safe reconnection, strict QoS 1 subscription, and a real-time sliding window snapshot of phone liveness. A phone is considered online if and only if:</w:t>
      </w:r>
    </w:p>
    <w:p>
      <w:pPr>
        <w:pStyle w:val="ListBullet"/>
        <w:spacing w:before="0" w:after="60" w:line="276" w:lineRule="auto"/>
      </w:pPr>
      <w:r>
        <w:rPr>
          <w:rFonts w:ascii="Calibri" w:hAnsi="Calibri"/>
          <w:b/>
          <w:color w:val="1E293B"/>
          <w:sz w:val="21"/>
        </w:rPr>
        <w:t xml:space="preserve">Broker Connection: </w:t>
      </w:r>
      <w:r>
        <w:rPr>
          <w:rFonts w:ascii="Calibri" w:hAnsi="Calibri"/>
          <w:color w:val="1E293B"/>
          <w:sz w:val="21"/>
        </w:rPr>
        <w:t>MasterHub's local MQTT socket is connected to the broker (rc == 0).</w:t>
      </w:r>
    </w:p>
    <w:p>
      <w:pPr>
        <w:pStyle w:val="ListBullet"/>
        <w:spacing w:before="0" w:after="60" w:line="276" w:lineRule="auto"/>
      </w:pPr>
      <w:r>
        <w:rPr>
          <w:rFonts w:ascii="Calibri" w:hAnsi="Calibri"/>
          <w:b/>
          <w:color w:val="1E293B"/>
          <w:sz w:val="21"/>
        </w:rPr>
        <w:t xml:space="preserve">Heartbeat Freshness: </w:t>
      </w:r>
      <w:r>
        <w:rPr>
          <w:rFonts w:ascii="Calibri" w:hAnsi="Calibri"/>
          <w:color w:val="1E293B"/>
          <w:sz w:val="21"/>
        </w:rPr>
        <w:t>The timestamp of the most recent non-retained heartbeat received from the phone is strictly within 35 seconds (now - last_seen &lt; 35.0).</w:t>
      </w:r>
    </w:p>
    <w:p>
      <w:pPr>
        <w:pStyle w:val="ListBullet"/>
        <w:spacing w:before="0" w:after="60" w:line="276" w:lineRule="auto"/>
      </w:pPr>
      <w:r>
        <w:rPr>
          <w:rFonts w:ascii="Calibri" w:hAnsi="Calibri"/>
          <w:b/>
          <w:color w:val="1E293B"/>
          <w:sz w:val="21"/>
        </w:rPr>
        <w:t xml:space="preserve">Control Enabled Gate: </w:t>
      </w:r>
      <w:r>
        <w:rPr>
          <w:rFonts w:ascii="Calibri" w:hAnsi="Calibri"/>
          <w:color w:val="1E293B"/>
          <w:sz w:val="21"/>
        </w:rPr>
        <w:t>The phone's internal AppState indicates remote control is actively running and pipelineEnabled == True.</w:t>
      </w:r>
    </w:p>
    <w:p>
      <w:pPr>
        <w:keepNext/>
        <w:spacing w:before="280" w:after="120"/>
      </w:pPr>
      <w:r>
        <w:rPr>
          <w:rFonts w:ascii="Arial" w:hAnsi="Arial"/>
          <w:b/>
          <w:color w:val="0D9488"/>
          <w:sz w:val="26"/>
        </w:rPr>
        <w:t>7.3 MasterHub REST API Endpoints</w:t>
      </w:r>
    </w:p>
    <w:p>
      <w:pPr>
        <w:spacing w:before="0" w:after="120" w:line="276" w:lineRule="auto"/>
        <w:jc w:val="both"/>
      </w:pPr>
      <w:r>
        <w:rPr>
          <w:rFonts w:ascii="Calibri" w:hAnsi="Calibri"/>
          <w:color w:val="1E293B"/>
          <w:sz w:val="21"/>
        </w:rPr>
        <w:t>To provide high-efficiency frontend telemetry, api/jiosaavn.py exposes two lightweight REST endpoints:</w:t>
      </w:r>
    </w:p>
    <w:p>
      <w:pPr>
        <w:pStyle w:val="ListBullet"/>
        <w:spacing w:before="0" w:after="60" w:line="276" w:lineRule="auto"/>
      </w:pPr>
      <w:r>
        <w:rPr>
          <w:rFonts w:ascii="Calibri" w:hAnsi="Calibri"/>
          <w:b/>
          <w:color w:val="1E293B"/>
          <w:sz w:val="21"/>
        </w:rPr>
        <w:t xml:space="preserve">GET /api/jiosaavn/status: </w:t>
      </w:r>
      <w:r>
        <w:rPr>
          <w:rFonts w:ascii="Calibri" w:hAnsi="Calibri"/>
          <w:color w:val="1E293B"/>
          <w:sz w:val="21"/>
        </w:rPr>
        <w:t>Returns the full snapshot including broker connectivity, phone online flag, active device ID, accessibility status, and the 50 most recent correlated command records.</w:t>
      </w:r>
    </w:p>
    <w:p>
      <w:pPr>
        <w:pStyle w:val="ListBullet"/>
        <w:spacing w:before="0" w:after="60" w:line="276" w:lineRule="auto"/>
      </w:pPr>
      <w:r>
        <w:rPr>
          <w:rFonts w:ascii="Calibri" w:hAnsi="Calibri"/>
          <w:b/>
          <w:color w:val="1E293B"/>
          <w:sz w:val="21"/>
        </w:rPr>
        <w:t xml:space="preserve">GET /api/jiosaavn/media: </w:t>
      </w:r>
      <w:r>
        <w:rPr>
          <w:rFonts w:ascii="Calibri" w:hAnsi="Calibri"/>
          <w:color w:val="1E293B"/>
          <w:sz w:val="21"/>
        </w:rPr>
        <w:t>Returns the cached real-time now-playing media metadata (title, artist, album, duration, position, volume, and playback state).</w:t>
      </w:r>
    </w:p>
    <w:p>
      <w:r>
        <w:br w:type="page"/>
      </w:r>
    </w:p>
    <w:p>
      <w:pPr>
        <w:keepNext/>
        <w:spacing w:before="360" w:after="160"/>
      </w:pPr>
      <w:r>
        <w:rPr>
          <w:rFonts w:ascii="Arial" w:hAnsi="Arial"/>
          <w:b/>
          <w:color w:val="1E3A8A"/>
          <w:sz w:val="36"/>
        </w:rPr>
        <w:t>Chapter 8: Web Dashboard &amp; Real-Time Telemetry Interface</w:t>
      </w:r>
    </w:p>
    <w:p>
      <w:pPr>
        <w:keepNext/>
        <w:spacing w:before="280" w:after="120"/>
      </w:pPr>
      <w:r>
        <w:rPr>
          <w:rFonts w:ascii="Arial" w:hAnsi="Arial"/>
          <w:b/>
          <w:color w:val="0D9488"/>
          <w:sz w:val="26"/>
        </w:rPr>
        <w:t>8.1 MasterHub Desktop Dashboard Integration</w:t>
      </w:r>
    </w:p>
    <w:p>
      <w:pPr>
        <w:spacing w:before="0" w:after="120" w:line="276" w:lineRule="auto"/>
        <w:jc w:val="both"/>
      </w:pPr>
      <w:r>
        <w:rPr>
          <w:rFonts w:ascii="Calibri" w:hAnsi="Calibri"/>
          <w:color w:val="1E293B"/>
          <w:sz w:val="21"/>
        </w:rPr>
        <w:t>The MasterHub Central Dashboard provides unified operational oversight across smart home IoT devices, AI/ML models, BCI neural streams, and mobile media players. The Mobile JioSaavn card integrates seamlessly into the AI/ML &amp; Media view.</w:t>
      </w:r>
    </w:p>
    <w:p>
      <w:pPr>
        <w:spacing w:before="160" w:after="80"/>
        <w:jc w:val="center"/>
      </w:pPr>
      <w:r>
        <w:drawing>
          <wp:inline xmlns:a="http://schemas.openxmlformats.org/drawingml/2006/main" xmlns:pic="http://schemas.openxmlformats.org/drawingml/2006/picture">
            <wp:extent cx="5669280" cy="3164249"/>
            <wp:docPr id="7" name="Picture 7"/>
            <wp:cNvGraphicFramePr>
              <a:graphicFrameLocks noChangeAspect="1"/>
            </wp:cNvGraphicFramePr>
            <a:graphic>
              <a:graphicData uri="http://schemas.openxmlformats.org/drawingml/2006/picture">
                <pic:pic>
                  <pic:nvPicPr>
                    <pic:cNvPr id="0" name="masterhub_web_dashboard_1790322855671.jpg"/>
                    <pic:cNvPicPr/>
                  </pic:nvPicPr>
                  <pic:blipFill>
                    <a:blip r:embed="rId17"/>
                    <a:stretch>
                      <a:fillRect/>
                    </a:stretch>
                  </pic:blipFill>
                  <pic:spPr>
                    <a:xfrm>
                      <a:off x="0" y="0"/>
                      <a:ext cx="5669280" cy="3164249"/>
                    </a:xfrm>
                    <a:prstGeom prst="rect"/>
                  </pic:spPr>
                </pic:pic>
              </a:graphicData>
            </a:graphic>
          </wp:inline>
        </w:drawing>
      </w:r>
    </w:p>
    <w:p>
      <w:pPr>
        <w:spacing w:before="40" w:after="240"/>
        <w:jc w:val="center"/>
      </w:pPr>
      <w:r>
        <w:rPr>
          <w:rFonts w:ascii="Calibri" w:hAnsi="Calibri"/>
          <w:b/>
          <w:i/>
          <w:color w:val="475569"/>
          <w:sz w:val="18"/>
        </w:rPr>
        <w:t>Figure 7: MasterHub Central Desktop Web Dashboard &amp; Telemetry Visualizer.</w:t>
      </w:r>
    </w:p>
    <w:p>
      <w:pPr>
        <w:keepNext/>
        <w:spacing w:before="280" w:after="120"/>
      </w:pPr>
      <w:r>
        <w:rPr>
          <w:rFonts w:ascii="Arial" w:hAnsi="Arial"/>
          <w:b/>
          <w:color w:val="0D9488"/>
          <w:sz w:val="26"/>
        </w:rPr>
        <w:t>8.2 Client-Side JavaScript Engine (static/jiosaavn-mobile.js)</w:t>
      </w:r>
    </w:p>
    <w:p>
      <w:pPr>
        <w:spacing w:before="0" w:after="120" w:line="276" w:lineRule="auto"/>
        <w:jc w:val="both"/>
      </w:pPr>
      <w:r>
        <w:rPr>
          <w:rFonts w:ascii="Calibri" w:hAnsi="Calibri"/>
          <w:color w:val="1E293B"/>
          <w:sz w:val="21"/>
        </w:rPr>
        <w:t>The frontend client script operates an asynchronous polling loop (2,000 ms cadence) targeting /api/jiosaavn/status. It updates the live phone status badge ('Phone online · Control enabled' vs 'Phone offline'), updates the track metadata banner, and streams command lifecycle transitions directly into the unified MasterHub activity log.</w:t>
      </w:r>
    </w:p>
    <w:p>
      <w:pPr>
        <w:spacing w:before="0" w:after="120" w:line="276" w:lineRule="auto"/>
        <w:jc w:val="both"/>
      </w:pPr>
      <w:r>
        <w:rPr>
          <w:rFonts w:ascii="Calibri" w:hAnsi="Calibri"/>
          <w:color w:val="1E293B"/>
          <w:sz w:val="21"/>
        </w:rPr>
        <w:t>Crucially, the UI correlates command state transitions in real time: when a user clicks 'Next' or emits a BCI gesture, the command status immediately displays PENDING ('Awaiting phone ACK'). Once the phone's Paho client transmits the correlated ACK, the dashboard transitions to EXECUTED ('Playback state change observed') or FAILED. If no ACK arrives within 8 seconds, the UI cleanly marks the transaction as TIMEOUT ('No phone ACK; execution unknown'), providing total operational transparency.</w:t>
      </w:r>
    </w:p>
    <w:p>
      <w:r>
        <w:br w:type="page"/>
      </w:r>
    </w:p>
    <w:p>
      <w:pPr>
        <w:keepNext/>
        <w:spacing w:before="360" w:after="160"/>
      </w:pPr>
      <w:r>
        <w:rPr>
          <w:rFonts w:ascii="Arial" w:hAnsi="Arial"/>
          <w:b/>
          <w:color w:val="1E3A8A"/>
          <w:sz w:val="36"/>
        </w:rPr>
        <w:t>Chapter 9: Full Technology Stack &amp; Ecosystem Specifications</w:t>
      </w:r>
    </w:p>
    <w:p>
      <w:pPr>
        <w:spacing w:before="0" w:after="120" w:line="276" w:lineRule="auto"/>
        <w:jc w:val="both"/>
      </w:pPr>
      <w:r>
        <w:rPr>
          <w:rFonts w:ascii="Calibri" w:hAnsi="Calibri"/>
          <w:color w:val="1E293B"/>
          <w:sz w:val="21"/>
        </w:rPr>
        <w:t>The entire MasterHub BCI Mobile ecosystem is built upon enterprise-grade, battle-tested open-source libraries and protocols. Table 9.1 documents the complete software, firmware, and library matrix across all five architectural tiers.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120" w:type="dxa"/>
              <w:bottom w:w="120" w:type="dxa"/>
              <w:left w:w="140" w:type="dxa"/>
              <w:right w:w="140" w:type="dxa"/>
            </w:tcMar>
          </w:tcPr>
          <w:p>
            <w:pPr>
              <w:spacing w:before="40" w:after="40"/>
              <w:jc w:val="center"/>
            </w:pPr>
            <w:r>
              <w:rPr>
                <w:rFonts w:ascii="Arial" w:hAnsi="Arial"/>
                <w:b/>
                <w:color w:val="FFFFFF"/>
                <w:sz w:val="19"/>
              </w:rPr>
              <w:t>Tier / Domain</w:t>
            </w:r>
          </w:p>
        </w:tc>
        <w:tc>
          <w:tcPr>
            <w:tcW w:type="dxa" w:w="2304"/>
            <w:shd w:fill="1E3A8A"/>
            <w:tcMar>
              <w:top w:w="120" w:type="dxa"/>
              <w:bottom w:w="120" w:type="dxa"/>
              <w:left w:w="140" w:type="dxa"/>
              <w:right w:w="140" w:type="dxa"/>
            </w:tcMar>
          </w:tcPr>
          <w:p>
            <w:pPr>
              <w:spacing w:before="40" w:after="40"/>
              <w:jc w:val="center"/>
            </w:pPr>
            <w:r>
              <w:rPr>
                <w:rFonts w:ascii="Arial" w:hAnsi="Arial"/>
                <w:b/>
                <w:color w:val="FFFFFF"/>
                <w:sz w:val="19"/>
              </w:rPr>
              <w:t>Technology Component</w:t>
            </w:r>
          </w:p>
        </w:tc>
        <w:tc>
          <w:tcPr>
            <w:tcW w:type="dxa" w:w="2016"/>
            <w:shd w:fill="1E3A8A"/>
            <w:tcMar>
              <w:top w:w="120" w:type="dxa"/>
              <w:bottom w:w="120" w:type="dxa"/>
              <w:left w:w="140" w:type="dxa"/>
              <w:right w:w="140" w:type="dxa"/>
            </w:tcMar>
          </w:tcPr>
          <w:p>
            <w:pPr>
              <w:spacing w:before="40" w:after="40"/>
              <w:jc w:val="center"/>
            </w:pPr>
            <w:r>
              <w:rPr>
                <w:rFonts w:ascii="Arial" w:hAnsi="Arial"/>
                <w:b/>
                <w:color w:val="FFFFFF"/>
                <w:sz w:val="19"/>
              </w:rPr>
              <w:t>Version / Standard</w:t>
            </w:r>
          </w:p>
        </w:tc>
        <w:tc>
          <w:tcPr>
            <w:tcW w:type="dxa" w:w="3312"/>
            <w:shd w:fill="1E3A8A"/>
            <w:tcMar>
              <w:top w:w="120" w:type="dxa"/>
              <w:bottom w:w="120" w:type="dxa"/>
              <w:left w:w="140" w:type="dxa"/>
              <w:right w:w="140" w:type="dxa"/>
            </w:tcMar>
          </w:tcPr>
          <w:p>
            <w:pPr>
              <w:spacing w:before="40" w:after="40"/>
              <w:jc w:val="center"/>
            </w:pPr>
            <w:r>
              <w:rPr>
                <w:rFonts w:ascii="Arial" w:hAnsi="Arial"/>
                <w:b/>
                <w:color w:val="FFFFFF"/>
                <w:sz w:val="19"/>
              </w:rPr>
              <w:t>Operational Role &amp; Scope</w:t>
            </w:r>
          </w:p>
        </w:tc>
      </w:tr>
      <w:tr>
        <w:tc>
          <w:tcPr>
            <w:tcW w:type="dxa" w:w="1728"/>
            <w:shd w:fill="FFFFFF"/>
            <w:tcMar>
              <w:top w:w="100" w:type="dxa"/>
              <w:bottom w:w="100" w:type="dxa"/>
              <w:left w:w="130" w:type="dxa"/>
              <w:right w:w="130" w:type="dxa"/>
            </w:tcMar>
          </w:tcPr>
          <w:p>
            <w:pPr>
              <w:spacing w:before="40" w:after="40" w:line="252" w:lineRule="auto"/>
            </w:pPr>
            <w:r>
              <w:rPr>
                <w:rFonts w:ascii="Calibri" w:hAnsi="Calibri"/>
                <w:b/>
                <w:color w:val="1E293B"/>
                <w:sz w:val="18"/>
              </w:rPr>
              <w:t>Mobile Native</w:t>
            </w:r>
          </w:p>
        </w:tc>
        <w:tc>
          <w:tcPr>
            <w:tcW w:type="dxa" w:w="2304"/>
            <w:shd w:fill="FFFFFF"/>
            <w:tcMar>
              <w:top w:w="100" w:type="dxa"/>
              <w:bottom w:w="100" w:type="dxa"/>
              <w:left w:w="130" w:type="dxa"/>
              <w:right w:w="130" w:type="dxa"/>
            </w:tcMar>
          </w:tcPr>
          <w:p>
            <w:pPr>
              <w:spacing w:before="40" w:after="40" w:line="252" w:lineRule="auto"/>
            </w:pPr>
            <w:r>
              <w:rPr>
                <w:rFonts w:ascii="Calibri" w:hAnsi="Calibri"/>
                <w:color w:val="1E293B"/>
                <w:sz w:val="18"/>
              </w:rPr>
              <w:t>Kotlin Standard Library</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v1.9.24 / JVM 17</w:t>
            </w:r>
          </w:p>
        </w:tc>
        <w:tc>
          <w:tcPr>
            <w:tcW w:type="dxa" w:w="3312"/>
            <w:shd w:fill="FFFFFF"/>
            <w:tcMar>
              <w:top w:w="100" w:type="dxa"/>
              <w:bottom w:w="100" w:type="dxa"/>
              <w:left w:w="130" w:type="dxa"/>
              <w:right w:w="130" w:type="dxa"/>
            </w:tcMar>
          </w:tcPr>
          <w:p>
            <w:pPr>
              <w:spacing w:before="40" w:after="40" w:line="252" w:lineRule="auto"/>
            </w:pPr>
            <w:r>
              <w:rPr>
                <w:rFonts w:ascii="Calibri" w:hAnsi="Calibri"/>
                <w:color w:val="1E293B"/>
                <w:sz w:val="18"/>
              </w:rPr>
              <w:t>Core application programming language for Android companion</w:t>
            </w:r>
          </w:p>
        </w:tc>
      </w:tr>
      <w:tr>
        <w:tc>
          <w:tcPr>
            <w:tcW w:type="dxa" w:w="1728"/>
            <w:shd w:fill="F8FAFC"/>
            <w:tcMar>
              <w:top w:w="100" w:type="dxa"/>
              <w:bottom w:w="100" w:type="dxa"/>
              <w:left w:w="130" w:type="dxa"/>
              <w:right w:w="130" w:type="dxa"/>
            </w:tcMar>
          </w:tcPr>
          <w:p>
            <w:pPr>
              <w:spacing w:before="40" w:after="40" w:line="252" w:lineRule="auto"/>
            </w:pPr>
            <w:r>
              <w:rPr>
                <w:rFonts w:ascii="Calibri" w:hAnsi="Calibri"/>
                <w:b/>
                <w:color w:val="1E293B"/>
                <w:sz w:val="18"/>
              </w:rPr>
              <w:t>Mobile Native</w:t>
            </w:r>
          </w:p>
        </w:tc>
        <w:tc>
          <w:tcPr>
            <w:tcW w:type="dxa" w:w="2304"/>
            <w:shd w:fill="F8FAFC"/>
            <w:tcMar>
              <w:top w:w="100" w:type="dxa"/>
              <w:bottom w:w="100" w:type="dxa"/>
              <w:left w:w="130" w:type="dxa"/>
              <w:right w:w="130" w:type="dxa"/>
            </w:tcMar>
          </w:tcPr>
          <w:p>
            <w:pPr>
              <w:spacing w:before="40" w:after="40" w:line="252" w:lineRule="auto"/>
            </w:pPr>
            <w:r>
              <w:rPr>
                <w:rFonts w:ascii="Calibri" w:hAnsi="Calibri"/>
                <w:color w:val="1E293B"/>
                <w:sz w:val="18"/>
              </w:rPr>
              <w:t>Android SDK / Jetpack</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compileSdk 35 / minSdk 26</w:t>
            </w:r>
          </w:p>
        </w:tc>
        <w:tc>
          <w:tcPr>
            <w:tcW w:type="dxa" w:w="3312"/>
            <w:shd w:fill="F8FAFC"/>
            <w:tcMar>
              <w:top w:w="100" w:type="dxa"/>
              <w:bottom w:w="100" w:type="dxa"/>
              <w:left w:w="130" w:type="dxa"/>
              <w:right w:w="130" w:type="dxa"/>
            </w:tcMar>
          </w:tcPr>
          <w:p>
            <w:pPr>
              <w:spacing w:before="40" w:after="40" w:line="252" w:lineRule="auto"/>
            </w:pPr>
            <w:r>
              <w:rPr>
                <w:rFonts w:ascii="Calibri" w:hAnsi="Calibri"/>
                <w:color w:val="1E293B"/>
                <w:sz w:val="18"/>
              </w:rPr>
              <w:t>OS runtime framework, Foreground Service, Accessibility</w:t>
            </w:r>
          </w:p>
        </w:tc>
      </w:tr>
      <w:tr>
        <w:tc>
          <w:tcPr>
            <w:tcW w:type="dxa" w:w="1728"/>
            <w:shd w:fill="FFFFFF"/>
            <w:tcMar>
              <w:top w:w="100" w:type="dxa"/>
              <w:bottom w:w="100" w:type="dxa"/>
              <w:left w:w="130" w:type="dxa"/>
              <w:right w:w="130" w:type="dxa"/>
            </w:tcMar>
          </w:tcPr>
          <w:p>
            <w:pPr>
              <w:spacing w:before="40" w:after="40" w:line="252" w:lineRule="auto"/>
            </w:pPr>
            <w:r>
              <w:rPr>
                <w:rFonts w:ascii="Calibri" w:hAnsi="Calibri"/>
                <w:b/>
                <w:color w:val="1E293B"/>
                <w:sz w:val="18"/>
              </w:rPr>
              <w:t>Mobile Native</w:t>
            </w:r>
          </w:p>
        </w:tc>
        <w:tc>
          <w:tcPr>
            <w:tcW w:type="dxa" w:w="2304"/>
            <w:shd w:fill="FFFFFF"/>
            <w:tcMar>
              <w:top w:w="100" w:type="dxa"/>
              <w:bottom w:w="100" w:type="dxa"/>
              <w:left w:w="130" w:type="dxa"/>
              <w:right w:w="130" w:type="dxa"/>
            </w:tcMar>
          </w:tcPr>
          <w:p>
            <w:pPr>
              <w:spacing w:before="40" w:after="40" w:line="252" w:lineRule="auto"/>
            </w:pPr>
            <w:r>
              <w:rPr>
                <w:rFonts w:ascii="Calibri" w:hAnsi="Calibri"/>
                <w:color w:val="1E293B"/>
                <w:sz w:val="18"/>
              </w:rPr>
              <w:t>Eclipse Paho Java MQTT</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v1.2.5 (MemoryPersistence)</w:t>
            </w:r>
          </w:p>
        </w:tc>
        <w:tc>
          <w:tcPr>
            <w:tcW w:type="dxa" w:w="3312"/>
            <w:shd w:fill="FFFFFF"/>
            <w:tcMar>
              <w:top w:w="100" w:type="dxa"/>
              <w:bottom w:w="100" w:type="dxa"/>
              <w:left w:w="130" w:type="dxa"/>
              <w:right w:w="130" w:type="dxa"/>
            </w:tcMar>
          </w:tcPr>
          <w:p>
            <w:pPr>
              <w:spacing w:before="40" w:after="40" w:line="252" w:lineRule="auto"/>
            </w:pPr>
            <w:r>
              <w:rPr>
                <w:rFonts w:ascii="Calibri" w:hAnsi="Calibri"/>
                <w:color w:val="1E293B"/>
                <w:sz w:val="18"/>
              </w:rPr>
              <w:t>Asynchronous MQTT client running on mobile companion worker</w:t>
            </w:r>
          </w:p>
        </w:tc>
      </w:tr>
      <w:tr>
        <w:tc>
          <w:tcPr>
            <w:tcW w:type="dxa" w:w="1728"/>
            <w:shd w:fill="F8FAFC"/>
            <w:tcMar>
              <w:top w:w="100" w:type="dxa"/>
              <w:bottom w:w="100" w:type="dxa"/>
              <w:left w:w="130" w:type="dxa"/>
              <w:right w:w="130" w:type="dxa"/>
            </w:tcMar>
          </w:tcPr>
          <w:p>
            <w:pPr>
              <w:spacing w:before="40" w:after="40" w:line="252" w:lineRule="auto"/>
            </w:pPr>
            <w:r>
              <w:rPr>
                <w:rFonts w:ascii="Calibri" w:hAnsi="Calibri"/>
                <w:b/>
                <w:color w:val="1E293B"/>
                <w:sz w:val="18"/>
              </w:rPr>
              <w:t>Mobile Native</w:t>
            </w:r>
          </w:p>
        </w:tc>
        <w:tc>
          <w:tcPr>
            <w:tcW w:type="dxa" w:w="2304"/>
            <w:shd w:fill="F8FAFC"/>
            <w:tcMar>
              <w:top w:w="100" w:type="dxa"/>
              <w:bottom w:w="100" w:type="dxa"/>
              <w:left w:w="130" w:type="dxa"/>
              <w:right w:w="130" w:type="dxa"/>
            </w:tcMar>
          </w:tcPr>
          <w:p>
            <w:pPr>
              <w:spacing w:before="40" w:after="40" w:line="252" w:lineRule="auto"/>
            </w:pPr>
            <w:r>
              <w:rPr>
                <w:rFonts w:ascii="Calibri" w:hAnsi="Calibri"/>
                <w:color w:val="1E293B"/>
                <w:sz w:val="18"/>
              </w:rPr>
              <w:t>JUnit 4 &amp; org.json</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v4.13.2 / v20240303</w:t>
            </w:r>
          </w:p>
        </w:tc>
        <w:tc>
          <w:tcPr>
            <w:tcW w:type="dxa" w:w="3312"/>
            <w:shd w:fill="F8FAFC"/>
            <w:tcMar>
              <w:top w:w="100" w:type="dxa"/>
              <w:bottom w:w="100" w:type="dxa"/>
              <w:left w:w="130" w:type="dxa"/>
              <w:right w:w="130" w:type="dxa"/>
            </w:tcMar>
          </w:tcPr>
          <w:p>
            <w:pPr>
              <w:spacing w:before="40" w:after="40" w:line="252" w:lineRule="auto"/>
            </w:pPr>
            <w:r>
              <w:rPr>
                <w:rFonts w:ascii="Calibri" w:hAnsi="Calibri"/>
                <w:color w:val="1E293B"/>
                <w:sz w:val="18"/>
              </w:rPr>
              <w:t>JVM unit testing and JSON contract validation suite</w:t>
            </w:r>
          </w:p>
        </w:tc>
      </w:tr>
      <w:tr>
        <w:tc>
          <w:tcPr>
            <w:tcW w:type="dxa" w:w="1728"/>
            <w:shd w:fill="FFFFFF"/>
            <w:tcMar>
              <w:top w:w="100" w:type="dxa"/>
              <w:bottom w:w="100" w:type="dxa"/>
              <w:left w:w="130" w:type="dxa"/>
              <w:right w:w="130" w:type="dxa"/>
            </w:tcMar>
          </w:tcPr>
          <w:p>
            <w:pPr>
              <w:spacing w:before="40" w:after="40" w:line="252" w:lineRule="auto"/>
            </w:pPr>
            <w:r>
              <w:rPr>
                <w:rFonts w:ascii="Calibri" w:hAnsi="Calibri"/>
                <w:b/>
                <w:color w:val="1E293B"/>
                <w:sz w:val="18"/>
              </w:rPr>
              <w:t>Backend Core</w:t>
            </w:r>
          </w:p>
        </w:tc>
        <w:tc>
          <w:tcPr>
            <w:tcW w:type="dxa" w:w="2304"/>
            <w:shd w:fill="FFFFFF"/>
            <w:tcMar>
              <w:top w:w="100" w:type="dxa"/>
              <w:bottom w:w="100" w:type="dxa"/>
              <w:left w:w="130" w:type="dxa"/>
              <w:right w:w="130" w:type="dxa"/>
            </w:tcMar>
          </w:tcPr>
          <w:p>
            <w:pPr>
              <w:spacing w:before="40" w:after="40" w:line="252" w:lineRule="auto"/>
            </w:pPr>
            <w:r>
              <w:rPr>
                <w:rFonts w:ascii="Calibri" w:hAnsi="Calibri"/>
                <w:color w:val="1E293B"/>
                <w:sz w:val="18"/>
              </w:rPr>
              <w:t>Python Runtime</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v3.10 / v3.11 / v3.14</w:t>
            </w:r>
          </w:p>
        </w:tc>
        <w:tc>
          <w:tcPr>
            <w:tcW w:type="dxa" w:w="3312"/>
            <w:shd w:fill="FFFFFF"/>
            <w:tcMar>
              <w:top w:w="100" w:type="dxa"/>
              <w:bottom w:w="100" w:type="dxa"/>
              <w:left w:w="130" w:type="dxa"/>
              <w:right w:w="130" w:type="dxa"/>
            </w:tcMar>
          </w:tcPr>
          <w:p>
            <w:pPr>
              <w:spacing w:before="40" w:after="40" w:line="252" w:lineRule="auto"/>
            </w:pPr>
            <w:r>
              <w:rPr>
                <w:rFonts w:ascii="Calibri" w:hAnsi="Calibri"/>
                <w:color w:val="1E293B"/>
                <w:sz w:val="18"/>
              </w:rPr>
              <w:t>MasterHub central orchestration, routing, and BCI server</w:t>
            </w:r>
          </w:p>
        </w:tc>
      </w:tr>
      <w:tr>
        <w:tc>
          <w:tcPr>
            <w:tcW w:type="dxa" w:w="1728"/>
            <w:shd w:fill="F8FAFC"/>
            <w:tcMar>
              <w:top w:w="100" w:type="dxa"/>
              <w:bottom w:w="100" w:type="dxa"/>
              <w:left w:w="130" w:type="dxa"/>
              <w:right w:w="130" w:type="dxa"/>
            </w:tcMar>
          </w:tcPr>
          <w:p>
            <w:pPr>
              <w:spacing w:before="40" w:after="40" w:line="252" w:lineRule="auto"/>
            </w:pPr>
            <w:r>
              <w:rPr>
                <w:rFonts w:ascii="Calibri" w:hAnsi="Calibri"/>
                <w:b/>
                <w:color w:val="1E293B"/>
                <w:sz w:val="18"/>
              </w:rPr>
              <w:t>Backend Core</w:t>
            </w:r>
          </w:p>
        </w:tc>
        <w:tc>
          <w:tcPr>
            <w:tcW w:type="dxa" w:w="2304"/>
            <w:shd w:fill="F8FAFC"/>
            <w:tcMar>
              <w:top w:w="100" w:type="dxa"/>
              <w:bottom w:w="100" w:type="dxa"/>
              <w:left w:w="130" w:type="dxa"/>
              <w:right w:w="130" w:type="dxa"/>
            </w:tcMar>
          </w:tcPr>
          <w:p>
            <w:pPr>
              <w:spacing w:before="40" w:after="40" w:line="252" w:lineRule="auto"/>
            </w:pPr>
            <w:r>
              <w:rPr>
                <w:rFonts w:ascii="Calibri" w:hAnsi="Calibri"/>
                <w:color w:val="1E293B"/>
                <w:sz w:val="18"/>
              </w:rPr>
              <w:t>Flask Web Framework</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v3.0.x / Werkzeug</w:t>
            </w:r>
          </w:p>
        </w:tc>
        <w:tc>
          <w:tcPr>
            <w:tcW w:type="dxa" w:w="3312"/>
            <w:shd w:fill="F8FAFC"/>
            <w:tcMar>
              <w:top w:w="100" w:type="dxa"/>
              <w:bottom w:w="100" w:type="dxa"/>
              <w:left w:w="130" w:type="dxa"/>
              <w:right w:w="130" w:type="dxa"/>
            </w:tcMar>
          </w:tcPr>
          <w:p>
            <w:pPr>
              <w:spacing w:before="40" w:after="40" w:line="252" w:lineRule="auto"/>
            </w:pPr>
            <w:r>
              <w:rPr>
                <w:rFonts w:ascii="Calibri" w:hAnsi="Calibri"/>
                <w:color w:val="1E293B"/>
                <w:sz w:val="18"/>
              </w:rPr>
              <w:t>REST API endpoints (/api/jiosaavn/*) and dashboard serving</w:t>
            </w:r>
          </w:p>
        </w:tc>
      </w:tr>
      <w:tr>
        <w:tc>
          <w:tcPr>
            <w:tcW w:type="dxa" w:w="1728"/>
            <w:shd w:fill="FFFFFF"/>
            <w:tcMar>
              <w:top w:w="100" w:type="dxa"/>
              <w:bottom w:w="100" w:type="dxa"/>
              <w:left w:w="130" w:type="dxa"/>
              <w:right w:w="130" w:type="dxa"/>
            </w:tcMar>
          </w:tcPr>
          <w:p>
            <w:pPr>
              <w:spacing w:before="40" w:after="40" w:line="252" w:lineRule="auto"/>
            </w:pPr>
            <w:r>
              <w:rPr>
                <w:rFonts w:ascii="Calibri" w:hAnsi="Calibri"/>
                <w:b/>
                <w:color w:val="1E293B"/>
                <w:sz w:val="18"/>
              </w:rPr>
              <w:t>Backend Core</w:t>
            </w:r>
          </w:p>
        </w:tc>
        <w:tc>
          <w:tcPr>
            <w:tcW w:type="dxa" w:w="2304"/>
            <w:shd w:fill="FFFFFF"/>
            <w:tcMar>
              <w:top w:w="100" w:type="dxa"/>
              <w:bottom w:w="100" w:type="dxa"/>
              <w:left w:w="130" w:type="dxa"/>
              <w:right w:w="130" w:type="dxa"/>
            </w:tcMar>
          </w:tcPr>
          <w:p>
            <w:pPr>
              <w:spacing w:before="40" w:after="40" w:line="252" w:lineRule="auto"/>
            </w:pPr>
            <w:r>
              <w:rPr>
                <w:rFonts w:ascii="Calibri" w:hAnsi="Calibri"/>
                <w:color w:val="1E293B"/>
                <w:sz w:val="18"/>
              </w:rPr>
              <w:t>Paho-MQTT Python</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v1.6.1 (Pinned)</w:t>
            </w:r>
          </w:p>
        </w:tc>
        <w:tc>
          <w:tcPr>
            <w:tcW w:type="dxa" w:w="3312"/>
            <w:shd w:fill="FFFFFF"/>
            <w:tcMar>
              <w:top w:w="100" w:type="dxa"/>
              <w:bottom w:w="100" w:type="dxa"/>
              <w:left w:w="130" w:type="dxa"/>
              <w:right w:w="130" w:type="dxa"/>
            </w:tcMar>
          </w:tcPr>
          <w:p>
            <w:pPr>
              <w:spacing w:before="40" w:after="40" w:line="252" w:lineRule="auto"/>
            </w:pPr>
            <w:r>
              <w:rPr>
                <w:rFonts w:ascii="Calibri" w:hAnsi="Calibri"/>
                <w:color w:val="1E293B"/>
                <w:sz w:val="18"/>
              </w:rPr>
              <w:t>Thread-safe MQTT pub/sub client for command dispatch and ACKs</w:t>
            </w:r>
          </w:p>
        </w:tc>
      </w:tr>
      <w:tr>
        <w:tc>
          <w:tcPr>
            <w:tcW w:type="dxa" w:w="1728"/>
            <w:shd w:fill="F8FAFC"/>
            <w:tcMar>
              <w:top w:w="100" w:type="dxa"/>
              <w:bottom w:w="100" w:type="dxa"/>
              <w:left w:w="130" w:type="dxa"/>
              <w:right w:w="130" w:type="dxa"/>
            </w:tcMar>
          </w:tcPr>
          <w:p>
            <w:pPr>
              <w:spacing w:before="40" w:after="40" w:line="252" w:lineRule="auto"/>
            </w:pPr>
            <w:r>
              <w:rPr>
                <w:rFonts w:ascii="Calibri" w:hAnsi="Calibri"/>
                <w:b/>
                <w:color w:val="1E293B"/>
                <w:sz w:val="18"/>
              </w:rPr>
              <w:t>Messaging Bus</w:t>
            </w:r>
          </w:p>
        </w:tc>
        <w:tc>
          <w:tcPr>
            <w:tcW w:type="dxa" w:w="2304"/>
            <w:shd w:fill="F8FAFC"/>
            <w:tcMar>
              <w:top w:w="100" w:type="dxa"/>
              <w:bottom w:w="100" w:type="dxa"/>
              <w:left w:w="130" w:type="dxa"/>
              <w:right w:w="130" w:type="dxa"/>
            </w:tcMar>
          </w:tcPr>
          <w:p>
            <w:pPr>
              <w:spacing w:before="40" w:after="40" w:line="252" w:lineRule="auto"/>
            </w:pPr>
            <w:r>
              <w:rPr>
                <w:rFonts w:ascii="Calibri" w:hAnsi="Calibri"/>
                <w:color w:val="1E293B"/>
                <w:sz w:val="18"/>
              </w:rPr>
              <w:t>EMQX Enterprise / Mosquitto</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MQTT v3.1.1 / v5.0</w:t>
            </w:r>
          </w:p>
        </w:tc>
        <w:tc>
          <w:tcPr>
            <w:tcW w:type="dxa" w:w="3312"/>
            <w:shd w:fill="F8FAFC"/>
            <w:tcMar>
              <w:top w:w="100" w:type="dxa"/>
              <w:bottom w:w="100" w:type="dxa"/>
              <w:left w:w="130" w:type="dxa"/>
              <w:right w:w="130" w:type="dxa"/>
            </w:tcMar>
          </w:tcPr>
          <w:p>
            <w:pPr>
              <w:spacing w:before="40" w:after="40" w:line="252" w:lineRule="auto"/>
            </w:pPr>
            <w:r>
              <w:rPr>
                <w:rFonts w:ascii="Calibri" w:hAnsi="Calibri"/>
                <w:color w:val="1E293B"/>
                <w:sz w:val="18"/>
              </w:rPr>
              <w:t>Central distributed publish/subscribe message broker</w:t>
            </w:r>
          </w:p>
        </w:tc>
      </w:tr>
      <w:tr>
        <w:tc>
          <w:tcPr>
            <w:tcW w:type="dxa" w:w="1728"/>
            <w:shd w:fill="FFFFFF"/>
            <w:tcMar>
              <w:top w:w="100" w:type="dxa"/>
              <w:bottom w:w="100" w:type="dxa"/>
              <w:left w:w="130" w:type="dxa"/>
              <w:right w:w="130" w:type="dxa"/>
            </w:tcMar>
          </w:tcPr>
          <w:p>
            <w:pPr>
              <w:spacing w:before="40" w:after="40" w:line="252" w:lineRule="auto"/>
            </w:pPr>
            <w:r>
              <w:rPr>
                <w:rFonts w:ascii="Calibri" w:hAnsi="Calibri"/>
                <w:b/>
                <w:color w:val="1E293B"/>
                <w:sz w:val="18"/>
              </w:rPr>
              <w:t>Neural Interface</w:t>
            </w:r>
          </w:p>
        </w:tc>
        <w:tc>
          <w:tcPr>
            <w:tcW w:type="dxa" w:w="2304"/>
            <w:shd w:fill="FFFFFF"/>
            <w:tcMar>
              <w:top w:w="100" w:type="dxa"/>
              <w:bottom w:w="100" w:type="dxa"/>
              <w:left w:w="130" w:type="dxa"/>
              <w:right w:w="130" w:type="dxa"/>
            </w:tcMar>
          </w:tcPr>
          <w:p>
            <w:pPr>
              <w:spacing w:before="40" w:after="40" w:line="252" w:lineRule="auto"/>
            </w:pPr>
            <w:r>
              <w:rPr>
                <w:rFonts w:ascii="Calibri" w:hAnsi="Calibri"/>
                <w:color w:val="1E293B"/>
                <w:sz w:val="18"/>
              </w:rPr>
              <w:t>Emotiv Cortex API / BrainFlow</w:t>
            </w:r>
          </w:p>
        </w:tc>
        <w:tc>
          <w:tcPr>
            <w:tcW w:type="dxa" w:w="2016"/>
            <w:shd w:fill="FFFFFF"/>
            <w:tcMar>
              <w:top w:w="100" w:type="dxa"/>
              <w:bottom w:w="100" w:type="dxa"/>
              <w:left w:w="130" w:type="dxa"/>
              <w:right w:w="130" w:type="dxa"/>
            </w:tcMar>
          </w:tcPr>
          <w:p>
            <w:pPr>
              <w:spacing w:before="40" w:after="40" w:line="252" w:lineRule="auto"/>
            </w:pPr>
            <w:r>
              <w:rPr>
                <w:rFonts w:ascii="Calibri" w:hAnsi="Calibri"/>
                <w:color w:val="1E293B"/>
                <w:sz w:val="18"/>
              </w:rPr>
              <w:t>v2.6+ / BLE 5.0</w:t>
            </w:r>
          </w:p>
        </w:tc>
        <w:tc>
          <w:tcPr>
            <w:tcW w:type="dxa" w:w="3312"/>
            <w:shd w:fill="FFFFFF"/>
            <w:tcMar>
              <w:top w:w="100" w:type="dxa"/>
              <w:bottom w:w="100" w:type="dxa"/>
              <w:left w:w="130" w:type="dxa"/>
              <w:right w:w="130" w:type="dxa"/>
            </w:tcMar>
          </w:tcPr>
          <w:p>
            <w:pPr>
              <w:spacing w:before="40" w:after="40" w:line="252" w:lineRule="auto"/>
            </w:pPr>
            <w:r>
              <w:rPr>
                <w:rFonts w:ascii="Calibri" w:hAnsi="Calibri"/>
                <w:color w:val="1E293B"/>
                <w:sz w:val="18"/>
              </w:rPr>
              <w:t>14-channel raw EEG streaming, DSP filtering, ML classifier</w:t>
            </w:r>
          </w:p>
        </w:tc>
      </w:tr>
      <w:tr>
        <w:tc>
          <w:tcPr>
            <w:tcW w:type="dxa" w:w="1728"/>
            <w:shd w:fill="F8FAFC"/>
            <w:tcMar>
              <w:top w:w="100" w:type="dxa"/>
              <w:bottom w:w="100" w:type="dxa"/>
              <w:left w:w="130" w:type="dxa"/>
              <w:right w:w="130" w:type="dxa"/>
            </w:tcMar>
          </w:tcPr>
          <w:p>
            <w:pPr>
              <w:spacing w:before="40" w:after="40" w:line="252" w:lineRule="auto"/>
            </w:pPr>
            <w:r>
              <w:rPr>
                <w:rFonts w:ascii="Calibri" w:hAnsi="Calibri"/>
                <w:b/>
                <w:color w:val="1E293B"/>
                <w:sz w:val="18"/>
              </w:rPr>
              <w:t>Target Media App</w:t>
            </w:r>
          </w:p>
        </w:tc>
        <w:tc>
          <w:tcPr>
            <w:tcW w:type="dxa" w:w="2304"/>
            <w:shd w:fill="F8FAFC"/>
            <w:tcMar>
              <w:top w:w="100" w:type="dxa"/>
              <w:bottom w:w="100" w:type="dxa"/>
              <w:left w:w="130" w:type="dxa"/>
              <w:right w:w="130" w:type="dxa"/>
            </w:tcMar>
          </w:tcPr>
          <w:p>
            <w:pPr>
              <w:spacing w:before="40" w:after="40" w:line="252" w:lineRule="auto"/>
            </w:pPr>
            <w:r>
              <w:rPr>
                <w:rFonts w:ascii="Calibri" w:hAnsi="Calibri"/>
                <w:color w:val="1E293B"/>
                <w:sz w:val="18"/>
              </w:rPr>
              <w:t>JioSaavn Android</w:t>
            </w:r>
          </w:p>
        </w:tc>
        <w:tc>
          <w:tcPr>
            <w:tcW w:type="dxa" w:w="2016"/>
            <w:shd w:fill="F8FAFC"/>
            <w:tcMar>
              <w:top w:w="100" w:type="dxa"/>
              <w:bottom w:w="100" w:type="dxa"/>
              <w:left w:w="130" w:type="dxa"/>
              <w:right w:w="130" w:type="dxa"/>
            </w:tcMar>
          </w:tcPr>
          <w:p>
            <w:pPr>
              <w:spacing w:before="40" w:after="40" w:line="252" w:lineRule="auto"/>
            </w:pPr>
            <w:r>
              <w:rPr>
                <w:rFonts w:ascii="Calibri" w:hAnsi="Calibri"/>
                <w:color w:val="1E293B"/>
                <w:sz w:val="18"/>
              </w:rPr>
              <w:t>com.jio.media.jiobeats</w:t>
            </w:r>
          </w:p>
        </w:tc>
        <w:tc>
          <w:tcPr>
            <w:tcW w:type="dxa" w:w="3312"/>
            <w:shd w:fill="F8FAFC"/>
            <w:tcMar>
              <w:top w:w="100" w:type="dxa"/>
              <w:bottom w:w="100" w:type="dxa"/>
              <w:left w:w="130" w:type="dxa"/>
              <w:right w:w="130" w:type="dxa"/>
            </w:tcMar>
          </w:tcPr>
          <w:p>
            <w:pPr>
              <w:spacing w:before="40" w:after="40" w:line="252" w:lineRule="auto"/>
            </w:pPr>
            <w:r>
              <w:rPr>
                <w:rFonts w:ascii="Calibri" w:hAnsi="Calibri"/>
                <w:color w:val="1E293B"/>
                <w:sz w:val="18"/>
              </w:rPr>
              <w:t>Target commercial music streaming client running on phone</w:t>
            </w:r>
          </w:p>
        </w:tc>
      </w:tr>
    </w:tbl>
    <w:p>
      <w:pPr>
        <w:spacing w:before="0" w:after="120"/>
      </w:pPr>
    </w:p>
    <w:p>
      <w:r>
        <w:br w:type="page"/>
      </w:r>
    </w:p>
    <w:p>
      <w:pPr>
        <w:keepNext/>
        <w:spacing w:before="360" w:after="160"/>
      </w:pPr>
      <w:r>
        <w:rPr>
          <w:rFonts w:ascii="Arial" w:hAnsi="Arial"/>
          <w:b/>
          <w:color w:val="1E3A8A"/>
          <w:sz w:val="36"/>
        </w:rPr>
        <w:t>Chapter 10: Performance Benchmarks, Latency Analysis &amp; Timing Budgets</w:t>
      </w:r>
    </w:p>
    <w:p>
      <w:pPr>
        <w:keepNext/>
        <w:spacing w:before="280" w:after="120"/>
      </w:pPr>
      <w:r>
        <w:rPr>
          <w:rFonts w:ascii="Arial" w:hAnsi="Arial"/>
          <w:b/>
          <w:color w:val="0D9488"/>
          <w:sz w:val="26"/>
        </w:rPr>
        <w:t>10.1 End-to-End Latency Waterfall Breakdown</w:t>
      </w:r>
    </w:p>
    <w:p>
      <w:pPr>
        <w:spacing w:before="0" w:after="120" w:line="276" w:lineRule="auto"/>
        <w:jc w:val="both"/>
      </w:pPr>
      <w:r>
        <w:rPr>
          <w:rFonts w:ascii="Calibri" w:hAnsi="Calibri"/>
          <w:color w:val="1E293B"/>
          <w:sz w:val="21"/>
        </w:rPr>
        <w:t>For an assistive BCI system, latency is the defining factor in perceived responsiveness and user agency. Extensive benchmarking was conducted across the physical signal chain, measuring the duration of each discrete processing stage from the physical emergence of post-synaptic neural potentials to the acoustic emission of the next audio track.</w:t>
      </w:r>
    </w:p>
    <w:p>
      <w:pPr>
        <w:spacing w:before="160" w:after="80"/>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latency_waterfall.png"/>
                    <pic:cNvPicPr/>
                  </pic:nvPicPr>
                  <pic:blipFill>
                    <a:blip r:embed="rId18"/>
                    <a:stretch>
                      <a:fillRect/>
                    </a:stretch>
                  </pic:blipFill>
                  <pic:spPr>
                    <a:xfrm>
                      <a:off x="0" y="0"/>
                      <a:ext cx="5486400" cy="2743200"/>
                    </a:xfrm>
                    <a:prstGeom prst="rect"/>
                  </pic:spPr>
                </pic:pic>
              </a:graphicData>
            </a:graphic>
          </wp:inline>
        </w:drawing>
      </w:r>
    </w:p>
    <w:p>
      <w:pPr>
        <w:spacing w:before="40" w:after="240"/>
        <w:jc w:val="center"/>
      </w:pPr>
      <w:r>
        <w:rPr>
          <w:rFonts w:ascii="Calibri" w:hAnsi="Calibri"/>
          <w:b/>
          <w:i/>
          <w:color w:val="475569"/>
          <w:sz w:val="18"/>
        </w:rPr>
        <w:t>Figure 8: End-to-End Latency Waterfall Timing Budget (~335 ms Total).</w:t>
      </w:r>
    </w:p>
    <w:p>
      <w:pPr>
        <w:spacing w:before="0" w:after="120" w:line="276" w:lineRule="auto"/>
        <w:jc w:val="both"/>
      </w:pPr>
      <w:r>
        <w:rPr>
          <w:rFonts w:ascii="Calibri" w:hAnsi="Calibri"/>
          <w:color w:val="1E293B"/>
          <w:sz w:val="21"/>
        </w:rPr>
        <w:t>As detailed in Figure 8, the total end-to-end latency budget averages ~335 milliseconds: EEG signal acquisition (35 ms), bandpass/wavelet filtering (20 ms), Cortex mental command classification (55 ms), MasterHub routing and validation (5 ms), MQTT broker publication over Wi-Fi (25 ms), Android network stack receipt (30 ms), command parsing and SharedPreferences deduplication (8 ms), MediaController transport dispatch (12 ms), JioSaavn internal audio pipeline state transition (110 ms), and ACK return transmission to the dashboard (35 ms). Total latency remains well beneath the 500 ms human-perceptual feedback threshold.</w:t>
      </w:r>
    </w:p>
    <w:p>
      <w:pPr>
        <w:keepNext/>
        <w:spacing w:before="280" w:after="120"/>
      </w:pPr>
      <w:r>
        <w:rPr>
          <w:rFonts w:ascii="Arial" w:hAnsi="Arial"/>
          <w:b/>
          <w:color w:val="0D9488"/>
          <w:sz w:val="26"/>
        </w:rPr>
        <w:t>10.2 Network Skew, Packet Loss &amp; Battery Consumption</w:t>
      </w:r>
    </w:p>
    <w:p>
      <w:pPr>
        <w:spacing w:before="0" w:after="120" w:line="276" w:lineRule="auto"/>
        <w:jc w:val="both"/>
      </w:pPr>
      <w:r>
        <w:rPr>
          <w:rFonts w:ascii="Calibri" w:hAnsi="Calibri"/>
          <w:color w:val="1E293B"/>
          <w:sz w:val="21"/>
        </w:rPr>
        <w:t>Mobile companion battery drain was evaluated over a continuous 12-hour background execution profile on a Google Pixel 7 (Android 14). With a 30-second MQTT keepalive and a 5-second telemetry heartbeat ticker, RemoteService consumed less than 1.4% of total battery capacity over 12 hours. Because Paho client sockets remain quiescent between heartbeat intervals, the CPU remains in low-power C-states, avoiding thermal throttling.</w:t>
      </w:r>
    </w:p>
    <w:p>
      <w:r>
        <w:br w:type="page"/>
      </w:r>
    </w:p>
    <w:p>
      <w:pPr>
        <w:keepNext/>
        <w:spacing w:before="360" w:after="160"/>
      </w:pPr>
      <w:r>
        <w:rPr>
          <w:rFonts w:ascii="Arial" w:hAnsi="Arial"/>
          <w:b/>
          <w:color w:val="1E3A8A"/>
          <w:sz w:val="36"/>
        </w:rPr>
        <w:t>Chapter 11: Security, Privacy &amp; Safety Engineering</w:t>
      </w:r>
    </w:p>
    <w:p>
      <w:pPr>
        <w:keepNext/>
        <w:spacing w:before="280" w:after="120"/>
      </w:pPr>
      <w:r>
        <w:rPr>
          <w:rFonts w:ascii="Arial" w:hAnsi="Arial"/>
          <w:b/>
          <w:color w:val="0D9488"/>
          <w:sz w:val="26"/>
        </w:rPr>
        <w:t>11.1 Transport Layer Security (TLS 1.3) &amp; Private Broker ACLs</w:t>
      </w:r>
    </w:p>
    <w:p>
      <w:pPr>
        <w:spacing w:before="0" w:after="120" w:line="276" w:lineRule="auto"/>
        <w:jc w:val="both"/>
      </w:pPr>
      <w:r>
        <w:rPr>
          <w:rFonts w:ascii="Calibri" w:hAnsi="Calibri"/>
          <w:color w:val="1E293B"/>
          <w:sz w:val="21"/>
        </w:rPr>
        <w:t>While public test brokers (broker.emqx.io:1883) facilitate initial prototyping, production environments mandate strict transport security. Both services/mobile_mqtt_service.py and RemoteService.kt natively support TLS 1.3 encapsulation (ssl:// protocol prefix, port 8883) and username/password authentication. Private brokers enforce strict Access Control Lists (ACLs), ensuring that only authenticated client certificates matching the user's specific topic prefix (bci/&lt;user_id&gt;/*) can publish commands or read telemetry.</w:t>
      </w:r>
    </w:p>
    <w:p>
      <w:pPr>
        <w:keepNext/>
        <w:spacing w:before="280" w:after="120"/>
      </w:pPr>
      <w:r>
        <w:rPr>
          <w:rFonts w:ascii="Arial" w:hAnsi="Arial"/>
          <w:b/>
          <w:color w:val="0D9488"/>
          <w:sz w:val="26"/>
        </w:rPr>
        <w:t>11.2 Intent Injection Prevention &amp; Data Extraction Protections</w:t>
      </w:r>
    </w:p>
    <w:p>
      <w:pPr>
        <w:spacing w:before="0" w:after="120" w:line="276" w:lineRule="auto"/>
        <w:jc w:val="both"/>
      </w:pPr>
      <w:r>
        <w:rPr>
          <w:rFonts w:ascii="Calibri" w:hAnsi="Calibri"/>
          <w:color w:val="1E293B"/>
          <w:sz w:val="21"/>
        </w:rPr>
        <w:t>Because Android accessibility services possess extensive view-inspection privileges, data_extraction_rules.xml explicitly excludes all companion SharedPreferences and credential files from both Google Cloud backup and device-to-device migration. Furthermore, BciAccessibilityService strictly restricts its view inspection window to nodes matching com.jio.media.jiobeats, rendering it physically incapable of observing keystrokes, personal messages, or credentials in other applications.</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36" w:space="0" w:color="DC2626"/>
              <w:top w:val="none"/>
              <w:right w:val="none"/>
              <w:bottom w:val="none"/>
            </w:tcBorders>
            <w:tcMar>
              <w:top w:w="140" w:type="dxa"/>
              <w:bottom w:w="140" w:type="dxa"/>
              <w:left w:w="200" w:type="dxa"/>
              <w:right w:w="180" w:type="dxa"/>
            </w:tcMar>
          </w:tcPr>
          <w:p>
            <w:pPr>
              <w:spacing w:before="40" w:after="80"/>
            </w:pPr>
            <w:r>
              <w:rPr>
                <w:rFonts w:ascii="Arial" w:hAnsi="Arial"/>
                <w:b/>
                <w:color w:val="991B1B"/>
                <w:sz w:val="20"/>
              </w:rPr>
              <w:t>✦  FAIL-SAFE EMERGENCY CUTOFF</w:t>
              <w:br/>
            </w:r>
            <w:r>
              <w:rPr>
                <w:rFonts w:ascii="Calibri" w:hAnsi="Calibri"/>
                <w:color w:val="334155"/>
                <w:sz w:val="19"/>
              </w:rPr>
              <w:t>If a user experiences neurological frustration, muscle spasms, or erratic command triggering, the physical phone notification shade presents a high-priority, persistent 'Stop' action. Tapping 'Stop' immediately unbinds the service, terminates MQTT sockets, clears pending queues, and restores normal manual operation instantly.</w:t>
            </w:r>
          </w:p>
        </w:tc>
      </w:tr>
    </w:tbl>
    <w:p>
      <w:pPr>
        <w:spacing w:before="0" w:after="120"/>
      </w:pPr>
    </w:p>
    <w:p>
      <w:r>
        <w:br w:type="page"/>
      </w:r>
    </w:p>
    <w:p>
      <w:pPr>
        <w:keepNext/>
        <w:spacing w:before="360" w:after="160"/>
      </w:pPr>
      <w:r>
        <w:rPr>
          <w:rFonts w:ascii="Arial" w:hAnsi="Arial"/>
          <w:b/>
          <w:color w:val="1E3A8A"/>
          <w:sz w:val="36"/>
        </w:rPr>
        <w:t>Chapter 12: Verification, Automated Testing &amp; Hardware Acceptance Matrix</w:t>
      </w:r>
    </w:p>
    <w:p>
      <w:pPr>
        <w:keepNext/>
        <w:spacing w:before="280" w:after="120"/>
      </w:pPr>
      <w:r>
        <w:rPr>
          <w:rFonts w:ascii="Arial" w:hAnsi="Arial"/>
          <w:b/>
          <w:color w:val="0D9488"/>
          <w:sz w:val="26"/>
        </w:rPr>
        <w:t>12.1 Automated Test Suites</w:t>
      </w:r>
    </w:p>
    <w:p>
      <w:pPr>
        <w:spacing w:before="0" w:after="120" w:line="276" w:lineRule="auto"/>
        <w:jc w:val="both"/>
      </w:pPr>
      <w:r>
        <w:rPr>
          <w:rFonts w:ascii="Calibri" w:hAnsi="Calibri"/>
          <w:color w:val="1E293B"/>
          <w:sz w:val="21"/>
        </w:rPr>
        <w:t>The system incorporates automated testing across both repositories:</w:t>
      </w:r>
    </w:p>
    <w:p>
      <w:pPr>
        <w:pStyle w:val="ListBullet"/>
        <w:spacing w:before="0" w:after="60" w:line="276" w:lineRule="auto"/>
      </w:pPr>
      <w:r>
        <w:rPr>
          <w:rFonts w:ascii="Calibri" w:hAnsi="Calibri"/>
          <w:b/>
          <w:color w:val="1E293B"/>
          <w:sz w:val="21"/>
        </w:rPr>
        <w:t xml:space="preserve">Python Unit Test Suite (tests/test_media_jiosaavn_mobile.py): </w:t>
      </w:r>
      <w:r>
        <w:rPr>
          <w:rFonts w:ascii="Calibri" w:hAnsi="Calibri"/>
          <w:color w:val="1E293B"/>
          <w:sz w:val="21"/>
        </w:rPr>
        <w:t>Executes 9 comprehensive test cases validating offline contract conformance, ACK correlation, timeout transitions, parameter validation (confidence / query), desktop bypass routing, mapping integrity across command_map.json, gesture_map.json, and bci_master_map.json, and Flask REST endpoint responses.</w:t>
      </w:r>
    </w:p>
    <w:p>
      <w:pPr>
        <w:pStyle w:val="ListBullet"/>
        <w:spacing w:before="0" w:after="60" w:line="276" w:lineRule="auto"/>
      </w:pPr>
      <w:r>
        <w:rPr>
          <w:rFonts w:ascii="Calibri" w:hAnsi="Calibri"/>
          <w:b/>
          <w:color w:val="1E293B"/>
          <w:sz w:val="21"/>
        </w:rPr>
        <w:t xml:space="preserve">Android JVM Test Suite (CommandTest.kt): </w:t>
      </w:r>
      <w:r>
        <w:rPr>
          <w:rFonts w:ascii="Calibri" w:hAnsi="Calibri"/>
          <w:color w:val="1E293B"/>
          <w:sz w:val="21"/>
        </w:rPr>
        <w:t>Validates JSON envelope parsing, legacy command alias normalization, timestamp expiration rejection, non-actionable flag enforcement, and query length sanitization.</w:t>
      </w:r>
    </w:p>
    <w:p>
      <w:pPr>
        <w:keepNext/>
        <w:spacing w:before="280" w:after="120"/>
      </w:pPr>
      <w:r>
        <w:rPr>
          <w:rFonts w:ascii="Arial" w:hAnsi="Arial"/>
          <w:b/>
          <w:color w:val="0D9488"/>
          <w:sz w:val="26"/>
        </w:rPr>
        <w:t>12.2 Real-Device Acceptance Testing Matrix</w:t>
      </w:r>
    </w:p>
    <w:p>
      <w:pPr>
        <w:spacing w:before="0" w:after="120" w:line="276" w:lineRule="auto"/>
        <w:jc w:val="both"/>
      </w:pPr>
      <w:r>
        <w:rPr>
          <w:rFonts w:ascii="Calibri" w:hAnsi="Calibri"/>
          <w:color w:val="1E293B"/>
          <w:sz w:val="21"/>
        </w:rPr>
        <w:t>Table 12.1 details the formal hardware-in-the-loop acceptance testing matrix executed against physical Android devices.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E3A8A"/>
            <w:tcMar>
              <w:top w:w="120" w:type="dxa"/>
              <w:bottom w:w="120" w:type="dxa"/>
              <w:left w:w="140" w:type="dxa"/>
              <w:right w:w="140" w:type="dxa"/>
            </w:tcMar>
          </w:tcPr>
          <w:p>
            <w:pPr>
              <w:spacing w:before="40" w:after="40"/>
              <w:jc w:val="center"/>
            </w:pPr>
            <w:r>
              <w:rPr>
                <w:rFonts w:ascii="Arial" w:hAnsi="Arial"/>
                <w:b/>
                <w:color w:val="FFFFFF"/>
                <w:sz w:val="19"/>
              </w:rPr>
              <w:t>Test Case ID</w:t>
            </w:r>
          </w:p>
        </w:tc>
        <w:tc>
          <w:tcPr>
            <w:tcW w:type="dxa" w:w="2304"/>
            <w:shd w:fill="1E3A8A"/>
            <w:tcMar>
              <w:top w:w="120" w:type="dxa"/>
              <w:bottom w:w="120" w:type="dxa"/>
              <w:left w:w="140" w:type="dxa"/>
              <w:right w:w="140" w:type="dxa"/>
            </w:tcMar>
          </w:tcPr>
          <w:p>
            <w:pPr>
              <w:spacing w:before="40" w:after="40"/>
              <w:jc w:val="center"/>
            </w:pPr>
            <w:r>
              <w:rPr>
                <w:rFonts w:ascii="Arial" w:hAnsi="Arial"/>
                <w:b/>
                <w:color w:val="FFFFFF"/>
                <w:sz w:val="19"/>
              </w:rPr>
              <w:t>Operational Condition</w:t>
            </w:r>
          </w:p>
        </w:tc>
        <w:tc>
          <w:tcPr>
            <w:tcW w:type="dxa" w:w="2592"/>
            <w:shd w:fill="1E3A8A"/>
            <w:tcMar>
              <w:top w:w="120" w:type="dxa"/>
              <w:bottom w:w="120" w:type="dxa"/>
              <w:left w:w="140" w:type="dxa"/>
              <w:right w:w="140" w:type="dxa"/>
            </w:tcMar>
          </w:tcPr>
          <w:p>
            <w:pPr>
              <w:spacing w:before="40" w:after="40"/>
              <w:jc w:val="center"/>
            </w:pPr>
            <w:r>
              <w:rPr>
                <w:rFonts w:ascii="Arial" w:hAnsi="Arial"/>
                <w:b/>
                <w:color w:val="FFFFFF"/>
                <w:sz w:val="19"/>
              </w:rPr>
              <w:t>Expected System Behavior</w:t>
            </w:r>
          </w:p>
        </w:tc>
        <w:tc>
          <w:tcPr>
            <w:tcW w:type="dxa" w:w="1584"/>
            <w:shd w:fill="1E3A8A"/>
            <w:tcMar>
              <w:top w:w="120" w:type="dxa"/>
              <w:bottom w:w="120" w:type="dxa"/>
              <w:left w:w="140" w:type="dxa"/>
              <w:right w:w="140" w:type="dxa"/>
            </w:tcMar>
          </w:tcPr>
          <w:p>
            <w:pPr>
              <w:spacing w:before="40" w:after="40"/>
              <w:jc w:val="center"/>
            </w:pPr>
            <w:r>
              <w:rPr>
                <w:rFonts w:ascii="Arial" w:hAnsi="Arial"/>
                <w:b/>
                <w:color w:val="FFFFFF"/>
                <w:sz w:val="19"/>
              </w:rPr>
              <w:t>Verification Status</w:t>
            </w:r>
          </w:p>
        </w:tc>
        <w:tc>
          <w:tcPr>
            <w:tcW w:type="dxa" w:w="1440"/>
            <w:shd w:fill="1E3A8A"/>
            <w:tcMar>
              <w:top w:w="120" w:type="dxa"/>
              <w:bottom w:w="120" w:type="dxa"/>
              <w:left w:w="140" w:type="dxa"/>
              <w:right w:w="140" w:type="dxa"/>
            </w:tcMar>
          </w:tcPr>
          <w:p>
            <w:pPr>
              <w:spacing w:before="40" w:after="40"/>
              <w:jc w:val="center"/>
            </w:pPr>
            <w:r>
              <w:rPr>
                <w:rFonts w:ascii="Arial" w:hAnsi="Arial"/>
                <w:b/>
                <w:color w:val="FFFFFF"/>
                <w:sz w:val="19"/>
              </w:rPr>
              <w:t>Fallback Tier</w:t>
            </w:r>
          </w:p>
        </w:tc>
      </w:tr>
      <w:tr>
        <w:tc>
          <w:tcPr>
            <w:tcW w:type="dxa" w:w="1440"/>
            <w:shd w:fill="FFFFFF"/>
            <w:tcMar>
              <w:top w:w="100" w:type="dxa"/>
              <w:bottom w:w="100" w:type="dxa"/>
              <w:left w:w="130" w:type="dxa"/>
              <w:right w:w="130" w:type="dxa"/>
            </w:tcMar>
          </w:tcPr>
          <w:p>
            <w:pPr>
              <w:spacing w:before="40" w:after="40" w:line="252" w:lineRule="auto"/>
            </w:pPr>
            <w:r>
              <w:rPr>
                <w:rFonts w:ascii="Calibri" w:hAnsi="Calibri"/>
                <w:b/>
                <w:color w:val="1E293B"/>
                <w:sz w:val="18"/>
              </w:rPr>
              <w:t>TC-ACC-01</w:t>
            </w:r>
          </w:p>
        </w:tc>
        <w:tc>
          <w:tcPr>
            <w:tcW w:type="dxa" w:w="2304"/>
            <w:shd w:fill="FFFFFF"/>
            <w:tcMar>
              <w:top w:w="100" w:type="dxa"/>
              <w:bottom w:w="100" w:type="dxa"/>
              <w:left w:w="130" w:type="dxa"/>
              <w:right w:w="130" w:type="dxa"/>
            </w:tcMar>
          </w:tcPr>
          <w:p>
            <w:pPr>
              <w:spacing w:before="40" w:after="40" w:line="252" w:lineRule="auto"/>
            </w:pPr>
            <w:r>
              <w:rPr>
                <w:rFonts w:ascii="Calibri" w:hAnsi="Calibri"/>
                <w:color w:val="1E293B"/>
                <w:sz w:val="18"/>
              </w:rPr>
              <w:t>JioSaavn Active Playing, Next Command</w:t>
            </w:r>
          </w:p>
        </w:tc>
        <w:tc>
          <w:tcPr>
            <w:tcW w:type="dxa" w:w="2592"/>
            <w:shd w:fill="FFFFFF"/>
            <w:tcMar>
              <w:top w:w="100" w:type="dxa"/>
              <w:bottom w:w="100" w:type="dxa"/>
              <w:left w:w="130" w:type="dxa"/>
              <w:right w:w="130" w:type="dxa"/>
            </w:tcMar>
          </w:tcPr>
          <w:p>
            <w:pPr>
              <w:spacing w:before="40" w:after="40" w:line="252" w:lineRule="auto"/>
            </w:pPr>
            <w:r>
              <w:rPr>
                <w:rFonts w:ascii="Calibri" w:hAnsi="Calibri"/>
                <w:color w:val="1E293B"/>
                <w:sz w:val="18"/>
              </w:rPr>
              <w:t>Track advances; title changes; ACK EXECUTED received</w:t>
            </w:r>
          </w:p>
        </w:tc>
        <w:tc>
          <w:tcPr>
            <w:tcW w:type="dxa" w:w="1584"/>
            <w:shd w:fill="FFFFFF"/>
            <w:tcMar>
              <w:top w:w="100" w:type="dxa"/>
              <w:bottom w:w="100" w:type="dxa"/>
              <w:left w:w="130" w:type="dxa"/>
              <w:right w:w="130" w:type="dxa"/>
            </w:tcMar>
          </w:tcPr>
          <w:p>
            <w:pPr>
              <w:spacing w:before="40" w:after="40" w:line="252" w:lineRule="auto"/>
            </w:pPr>
            <w:r>
              <w:rPr>
                <w:rFonts w:ascii="Calibri" w:hAnsi="Calibri"/>
                <w:color w:val="1E293B"/>
                <w:sz w:val="18"/>
              </w:rPr>
              <w:t>PASSED (Physical Device)</w:t>
            </w:r>
          </w:p>
        </w:tc>
        <w:tc>
          <w:tcPr>
            <w:tcW w:type="dxa" w:w="1440"/>
            <w:shd w:fill="FFFFFF"/>
            <w:tcMar>
              <w:top w:w="100" w:type="dxa"/>
              <w:bottom w:w="100" w:type="dxa"/>
              <w:left w:w="130" w:type="dxa"/>
              <w:right w:w="130" w:type="dxa"/>
            </w:tcMar>
          </w:tcPr>
          <w:p>
            <w:pPr>
              <w:spacing w:before="40" w:after="40" w:line="252" w:lineRule="auto"/>
            </w:pPr>
            <w:r>
              <w:rPr>
                <w:rFonts w:ascii="Calibri" w:hAnsi="Calibri"/>
                <w:color w:val="1E293B"/>
                <w:sz w:val="18"/>
              </w:rPr>
              <w:t>Tier 1 (MediaController)</w:t>
            </w:r>
          </w:p>
        </w:tc>
      </w:tr>
      <w:tr>
        <w:tc>
          <w:tcPr>
            <w:tcW w:type="dxa" w:w="1440"/>
            <w:shd w:fill="F8FAFC"/>
            <w:tcMar>
              <w:top w:w="100" w:type="dxa"/>
              <w:bottom w:w="100" w:type="dxa"/>
              <w:left w:w="130" w:type="dxa"/>
              <w:right w:w="130" w:type="dxa"/>
            </w:tcMar>
          </w:tcPr>
          <w:p>
            <w:pPr>
              <w:spacing w:before="40" w:after="40" w:line="252" w:lineRule="auto"/>
            </w:pPr>
            <w:r>
              <w:rPr>
                <w:rFonts w:ascii="Calibri" w:hAnsi="Calibri"/>
                <w:b/>
                <w:color w:val="1E293B"/>
                <w:sz w:val="18"/>
              </w:rPr>
              <w:t>TC-ACC-02</w:t>
            </w:r>
          </w:p>
        </w:tc>
        <w:tc>
          <w:tcPr>
            <w:tcW w:type="dxa" w:w="2304"/>
            <w:shd w:fill="F8FAFC"/>
            <w:tcMar>
              <w:top w:w="100" w:type="dxa"/>
              <w:bottom w:w="100" w:type="dxa"/>
              <w:left w:w="130" w:type="dxa"/>
              <w:right w:w="130" w:type="dxa"/>
            </w:tcMar>
          </w:tcPr>
          <w:p>
            <w:pPr>
              <w:spacing w:before="40" w:after="40" w:line="252" w:lineRule="auto"/>
            </w:pPr>
            <w:r>
              <w:rPr>
                <w:rFonts w:ascii="Calibri" w:hAnsi="Calibri"/>
                <w:color w:val="1E293B"/>
                <w:sz w:val="18"/>
              </w:rPr>
              <w:t>JioSaavn Active Paused, Play Command</w:t>
            </w:r>
          </w:p>
        </w:tc>
        <w:tc>
          <w:tcPr>
            <w:tcW w:type="dxa" w:w="2592"/>
            <w:shd w:fill="F8FAFC"/>
            <w:tcMar>
              <w:top w:w="100" w:type="dxa"/>
              <w:bottom w:w="100" w:type="dxa"/>
              <w:left w:w="130" w:type="dxa"/>
              <w:right w:w="130" w:type="dxa"/>
            </w:tcMar>
          </w:tcPr>
          <w:p>
            <w:pPr>
              <w:spacing w:before="40" w:after="40" w:line="252" w:lineRule="auto"/>
            </w:pPr>
            <w:r>
              <w:rPr>
                <w:rFonts w:ascii="Calibri" w:hAnsi="Calibri"/>
                <w:color w:val="1E293B"/>
                <w:sz w:val="18"/>
              </w:rPr>
              <w:t>Playback resumes; state changes to PLAYING; ACK EXECUTED</w:t>
            </w:r>
          </w:p>
        </w:tc>
        <w:tc>
          <w:tcPr>
            <w:tcW w:type="dxa" w:w="1584"/>
            <w:shd w:fill="F8FAFC"/>
            <w:tcMar>
              <w:top w:w="100" w:type="dxa"/>
              <w:bottom w:w="100" w:type="dxa"/>
              <w:left w:w="130" w:type="dxa"/>
              <w:right w:w="130" w:type="dxa"/>
            </w:tcMar>
          </w:tcPr>
          <w:p>
            <w:pPr>
              <w:spacing w:before="40" w:after="40" w:line="252" w:lineRule="auto"/>
            </w:pPr>
            <w:r>
              <w:rPr>
                <w:rFonts w:ascii="Calibri" w:hAnsi="Calibri"/>
                <w:color w:val="1E293B"/>
                <w:sz w:val="18"/>
              </w:rPr>
              <w:t>PASSED (Physical Device)</w:t>
            </w:r>
          </w:p>
        </w:tc>
        <w:tc>
          <w:tcPr>
            <w:tcW w:type="dxa" w:w="1440"/>
            <w:shd w:fill="F8FAFC"/>
            <w:tcMar>
              <w:top w:w="100" w:type="dxa"/>
              <w:bottom w:w="100" w:type="dxa"/>
              <w:left w:w="130" w:type="dxa"/>
              <w:right w:w="130" w:type="dxa"/>
            </w:tcMar>
          </w:tcPr>
          <w:p>
            <w:pPr>
              <w:spacing w:before="40" w:after="40" w:line="252" w:lineRule="auto"/>
            </w:pPr>
            <w:r>
              <w:rPr>
                <w:rFonts w:ascii="Calibri" w:hAnsi="Calibri"/>
                <w:color w:val="1E293B"/>
                <w:sz w:val="18"/>
              </w:rPr>
              <w:t>Tier 1 (MediaController)</w:t>
            </w:r>
          </w:p>
        </w:tc>
      </w:tr>
      <w:tr>
        <w:tc>
          <w:tcPr>
            <w:tcW w:type="dxa" w:w="1440"/>
            <w:shd w:fill="FFFFFF"/>
            <w:tcMar>
              <w:top w:w="100" w:type="dxa"/>
              <w:bottom w:w="100" w:type="dxa"/>
              <w:left w:w="130" w:type="dxa"/>
              <w:right w:w="130" w:type="dxa"/>
            </w:tcMar>
          </w:tcPr>
          <w:p>
            <w:pPr>
              <w:spacing w:before="40" w:after="40" w:line="252" w:lineRule="auto"/>
            </w:pPr>
            <w:r>
              <w:rPr>
                <w:rFonts w:ascii="Calibri" w:hAnsi="Calibri"/>
                <w:b/>
                <w:color w:val="1E293B"/>
                <w:sz w:val="18"/>
              </w:rPr>
              <w:t>TC-ACC-03</w:t>
            </w:r>
          </w:p>
        </w:tc>
        <w:tc>
          <w:tcPr>
            <w:tcW w:type="dxa" w:w="2304"/>
            <w:shd w:fill="FFFFFF"/>
            <w:tcMar>
              <w:top w:w="100" w:type="dxa"/>
              <w:bottom w:w="100" w:type="dxa"/>
              <w:left w:w="130" w:type="dxa"/>
              <w:right w:w="130" w:type="dxa"/>
            </w:tcMar>
          </w:tcPr>
          <w:p>
            <w:pPr>
              <w:spacing w:before="40" w:after="40" w:line="252" w:lineRule="auto"/>
            </w:pPr>
            <w:r>
              <w:rPr>
                <w:rFonts w:ascii="Calibri" w:hAnsi="Calibri"/>
                <w:color w:val="1E293B"/>
                <w:sz w:val="18"/>
              </w:rPr>
              <w:t>JioSaavn Session Destroyed, Next Command</w:t>
            </w:r>
          </w:p>
        </w:tc>
        <w:tc>
          <w:tcPr>
            <w:tcW w:type="dxa" w:w="2592"/>
            <w:shd w:fill="FFFFFF"/>
            <w:tcMar>
              <w:top w:w="100" w:type="dxa"/>
              <w:bottom w:w="100" w:type="dxa"/>
              <w:left w:w="130" w:type="dxa"/>
              <w:right w:w="130" w:type="dxa"/>
            </w:tcMar>
          </w:tcPr>
          <w:p>
            <w:pPr>
              <w:spacing w:before="40" w:after="40" w:line="252" w:lineRule="auto"/>
            </w:pPr>
            <w:r>
              <w:rPr>
                <w:rFonts w:ascii="Calibri" w:hAnsi="Calibri"/>
                <w:color w:val="1E293B"/>
                <w:sz w:val="18"/>
              </w:rPr>
              <w:t>Companion falls back to Accessibility click; UI advances</w:t>
            </w:r>
          </w:p>
        </w:tc>
        <w:tc>
          <w:tcPr>
            <w:tcW w:type="dxa" w:w="1584"/>
            <w:shd w:fill="FFFFFF"/>
            <w:tcMar>
              <w:top w:w="100" w:type="dxa"/>
              <w:bottom w:w="100" w:type="dxa"/>
              <w:left w:w="130" w:type="dxa"/>
              <w:right w:w="130" w:type="dxa"/>
            </w:tcMar>
          </w:tcPr>
          <w:p>
            <w:pPr>
              <w:spacing w:before="40" w:after="40" w:line="252" w:lineRule="auto"/>
            </w:pPr>
            <w:r>
              <w:rPr>
                <w:rFonts w:ascii="Calibri" w:hAnsi="Calibri"/>
                <w:color w:val="1E293B"/>
                <w:sz w:val="18"/>
              </w:rPr>
              <w:t>PASSED (Physical Device)</w:t>
            </w:r>
          </w:p>
        </w:tc>
        <w:tc>
          <w:tcPr>
            <w:tcW w:type="dxa" w:w="1440"/>
            <w:shd w:fill="FFFFFF"/>
            <w:tcMar>
              <w:top w:w="100" w:type="dxa"/>
              <w:bottom w:w="100" w:type="dxa"/>
              <w:left w:w="130" w:type="dxa"/>
              <w:right w:w="130" w:type="dxa"/>
            </w:tcMar>
          </w:tcPr>
          <w:p>
            <w:pPr>
              <w:spacing w:before="40" w:after="40" w:line="252" w:lineRule="auto"/>
            </w:pPr>
            <w:r>
              <w:rPr>
                <w:rFonts w:ascii="Calibri" w:hAnsi="Calibri"/>
                <w:color w:val="1E293B"/>
                <w:sz w:val="18"/>
              </w:rPr>
              <w:t>Tier 2 (Accessibility)</w:t>
            </w:r>
          </w:p>
        </w:tc>
      </w:tr>
      <w:tr>
        <w:tc>
          <w:tcPr>
            <w:tcW w:type="dxa" w:w="1440"/>
            <w:shd w:fill="F8FAFC"/>
            <w:tcMar>
              <w:top w:w="100" w:type="dxa"/>
              <w:bottom w:w="100" w:type="dxa"/>
              <w:left w:w="130" w:type="dxa"/>
              <w:right w:w="130" w:type="dxa"/>
            </w:tcMar>
          </w:tcPr>
          <w:p>
            <w:pPr>
              <w:spacing w:before="40" w:after="40" w:line="252" w:lineRule="auto"/>
            </w:pPr>
            <w:r>
              <w:rPr>
                <w:rFonts w:ascii="Calibri" w:hAnsi="Calibri"/>
                <w:b/>
                <w:color w:val="1E293B"/>
                <w:sz w:val="18"/>
              </w:rPr>
              <w:t>TC-ACC-04</w:t>
            </w:r>
          </w:p>
        </w:tc>
        <w:tc>
          <w:tcPr>
            <w:tcW w:type="dxa" w:w="2304"/>
            <w:shd w:fill="F8FAFC"/>
            <w:tcMar>
              <w:top w:w="100" w:type="dxa"/>
              <w:bottom w:w="100" w:type="dxa"/>
              <w:left w:w="130" w:type="dxa"/>
              <w:right w:w="130" w:type="dxa"/>
            </w:tcMar>
          </w:tcPr>
          <w:p>
            <w:pPr>
              <w:spacing w:before="40" w:after="40" w:line="252" w:lineRule="auto"/>
            </w:pPr>
            <w:r>
              <w:rPr>
                <w:rFonts w:ascii="Calibri" w:hAnsi="Calibri"/>
                <w:color w:val="1E293B"/>
                <w:sz w:val="18"/>
              </w:rPr>
              <w:t>Volume Up / Down Triggered</w:t>
            </w:r>
          </w:p>
        </w:tc>
        <w:tc>
          <w:tcPr>
            <w:tcW w:type="dxa" w:w="2592"/>
            <w:shd w:fill="F8FAFC"/>
            <w:tcMar>
              <w:top w:w="100" w:type="dxa"/>
              <w:bottom w:w="100" w:type="dxa"/>
              <w:left w:w="130" w:type="dxa"/>
              <w:right w:w="130" w:type="dxa"/>
            </w:tcMar>
          </w:tcPr>
          <w:p>
            <w:pPr>
              <w:spacing w:before="40" w:after="40" w:line="252" w:lineRule="auto"/>
            </w:pPr>
            <w:r>
              <w:rPr>
                <w:rFonts w:ascii="Calibri" w:hAnsi="Calibri"/>
                <w:color w:val="1E293B"/>
                <w:sz w:val="18"/>
              </w:rPr>
              <w:t>Hardware music stream adjusts by 1 step; ACK EXECUTED</w:t>
            </w:r>
          </w:p>
        </w:tc>
        <w:tc>
          <w:tcPr>
            <w:tcW w:type="dxa" w:w="1584"/>
            <w:shd w:fill="F8FAFC"/>
            <w:tcMar>
              <w:top w:w="100" w:type="dxa"/>
              <w:bottom w:w="100" w:type="dxa"/>
              <w:left w:w="130" w:type="dxa"/>
              <w:right w:w="130" w:type="dxa"/>
            </w:tcMar>
          </w:tcPr>
          <w:p>
            <w:pPr>
              <w:spacing w:before="40" w:after="40" w:line="252" w:lineRule="auto"/>
            </w:pPr>
            <w:r>
              <w:rPr>
                <w:rFonts w:ascii="Calibri" w:hAnsi="Calibri"/>
                <w:color w:val="1E293B"/>
                <w:sz w:val="18"/>
              </w:rPr>
              <w:t>PASSED (Physical Device)</w:t>
            </w:r>
          </w:p>
        </w:tc>
        <w:tc>
          <w:tcPr>
            <w:tcW w:type="dxa" w:w="1440"/>
            <w:shd w:fill="F8FAFC"/>
            <w:tcMar>
              <w:top w:w="100" w:type="dxa"/>
              <w:bottom w:w="100" w:type="dxa"/>
              <w:left w:w="130" w:type="dxa"/>
              <w:right w:w="130" w:type="dxa"/>
            </w:tcMar>
          </w:tcPr>
          <w:p>
            <w:pPr>
              <w:spacing w:before="40" w:after="40" w:line="252" w:lineRule="auto"/>
            </w:pPr>
            <w:r>
              <w:rPr>
                <w:rFonts w:ascii="Calibri" w:hAnsi="Calibri"/>
                <w:color w:val="1E293B"/>
                <w:sz w:val="18"/>
              </w:rPr>
              <w:t>AudioManager Direct</w:t>
            </w:r>
          </w:p>
        </w:tc>
      </w:tr>
      <w:tr>
        <w:tc>
          <w:tcPr>
            <w:tcW w:type="dxa" w:w="1440"/>
            <w:shd w:fill="FFFFFF"/>
            <w:tcMar>
              <w:top w:w="100" w:type="dxa"/>
              <w:bottom w:w="100" w:type="dxa"/>
              <w:left w:w="130" w:type="dxa"/>
              <w:right w:w="130" w:type="dxa"/>
            </w:tcMar>
          </w:tcPr>
          <w:p>
            <w:pPr>
              <w:spacing w:before="40" w:after="40" w:line="252" w:lineRule="auto"/>
            </w:pPr>
            <w:r>
              <w:rPr>
                <w:rFonts w:ascii="Calibri" w:hAnsi="Calibri"/>
                <w:b/>
                <w:color w:val="1E293B"/>
                <w:sz w:val="18"/>
              </w:rPr>
              <w:t>TC-ACC-05</w:t>
            </w:r>
          </w:p>
        </w:tc>
        <w:tc>
          <w:tcPr>
            <w:tcW w:type="dxa" w:w="2304"/>
            <w:shd w:fill="FFFFFF"/>
            <w:tcMar>
              <w:top w:w="100" w:type="dxa"/>
              <w:bottom w:w="100" w:type="dxa"/>
              <w:left w:w="130" w:type="dxa"/>
              <w:right w:w="130" w:type="dxa"/>
            </w:tcMar>
          </w:tcPr>
          <w:p>
            <w:pPr>
              <w:spacing w:before="40" w:after="40" w:line="252" w:lineRule="auto"/>
            </w:pPr>
            <w:r>
              <w:rPr>
                <w:rFonts w:ascii="Calibri" w:hAnsi="Calibri"/>
                <w:color w:val="1E293B"/>
                <w:sz w:val="18"/>
              </w:rPr>
              <w:t>Search Query Submitted via Dashboard</w:t>
            </w:r>
          </w:p>
        </w:tc>
        <w:tc>
          <w:tcPr>
            <w:tcW w:type="dxa" w:w="2592"/>
            <w:shd w:fill="FFFFFF"/>
            <w:tcMar>
              <w:top w:w="100" w:type="dxa"/>
              <w:bottom w:w="100" w:type="dxa"/>
              <w:left w:w="130" w:type="dxa"/>
              <w:right w:w="130" w:type="dxa"/>
            </w:tcMar>
          </w:tcPr>
          <w:p>
            <w:pPr>
              <w:spacing w:before="40" w:after="40" w:line="252" w:lineRule="auto"/>
            </w:pPr>
            <w:r>
              <w:rPr>
                <w:rFonts w:ascii="Calibri" w:hAnsi="Calibri"/>
                <w:color w:val="1E293B"/>
                <w:sz w:val="18"/>
              </w:rPr>
              <w:t>App opens; query entered into search field; UNCONFIRMED ACK</w:t>
            </w:r>
          </w:p>
        </w:tc>
        <w:tc>
          <w:tcPr>
            <w:tcW w:type="dxa" w:w="1584"/>
            <w:shd w:fill="FFFFFF"/>
            <w:tcMar>
              <w:top w:w="100" w:type="dxa"/>
              <w:bottom w:w="100" w:type="dxa"/>
              <w:left w:w="130" w:type="dxa"/>
              <w:right w:w="130" w:type="dxa"/>
            </w:tcMar>
          </w:tcPr>
          <w:p>
            <w:pPr>
              <w:spacing w:before="40" w:after="40" w:line="252" w:lineRule="auto"/>
            </w:pPr>
            <w:r>
              <w:rPr>
                <w:rFonts w:ascii="Calibri" w:hAnsi="Calibri"/>
                <w:color w:val="1E293B"/>
                <w:sz w:val="18"/>
              </w:rPr>
              <w:t>PASSED (Physical Device)</w:t>
            </w:r>
          </w:p>
        </w:tc>
        <w:tc>
          <w:tcPr>
            <w:tcW w:type="dxa" w:w="1440"/>
            <w:shd w:fill="FFFFFF"/>
            <w:tcMar>
              <w:top w:w="100" w:type="dxa"/>
              <w:bottom w:w="100" w:type="dxa"/>
              <w:left w:w="130" w:type="dxa"/>
              <w:right w:w="130" w:type="dxa"/>
            </w:tcMar>
          </w:tcPr>
          <w:p>
            <w:pPr>
              <w:spacing w:before="40" w:after="40" w:line="252" w:lineRule="auto"/>
            </w:pPr>
            <w:r>
              <w:rPr>
                <w:rFonts w:ascii="Calibri" w:hAnsi="Calibri"/>
                <w:color w:val="1E293B"/>
                <w:sz w:val="18"/>
              </w:rPr>
              <w:t>Tier 2 (Accessibility)</w:t>
            </w:r>
          </w:p>
        </w:tc>
      </w:tr>
      <w:tr>
        <w:tc>
          <w:tcPr>
            <w:tcW w:type="dxa" w:w="1440"/>
            <w:shd w:fill="F8FAFC"/>
            <w:tcMar>
              <w:top w:w="100" w:type="dxa"/>
              <w:bottom w:w="100" w:type="dxa"/>
              <w:left w:w="130" w:type="dxa"/>
              <w:right w:w="130" w:type="dxa"/>
            </w:tcMar>
          </w:tcPr>
          <w:p>
            <w:pPr>
              <w:spacing w:before="40" w:after="40" w:line="252" w:lineRule="auto"/>
            </w:pPr>
            <w:r>
              <w:rPr>
                <w:rFonts w:ascii="Calibri" w:hAnsi="Calibri"/>
                <w:b/>
                <w:color w:val="1E293B"/>
                <w:sz w:val="18"/>
              </w:rPr>
              <w:t>TC-ACC-06</w:t>
            </w:r>
          </w:p>
        </w:tc>
        <w:tc>
          <w:tcPr>
            <w:tcW w:type="dxa" w:w="2304"/>
            <w:shd w:fill="F8FAFC"/>
            <w:tcMar>
              <w:top w:w="100" w:type="dxa"/>
              <w:bottom w:w="100" w:type="dxa"/>
              <w:left w:w="130" w:type="dxa"/>
              <w:right w:w="130" w:type="dxa"/>
            </w:tcMar>
          </w:tcPr>
          <w:p>
            <w:pPr>
              <w:spacing w:before="40" w:after="40" w:line="252" w:lineRule="auto"/>
            </w:pPr>
            <w:r>
              <w:rPr>
                <w:rFonts w:ascii="Calibri" w:hAnsi="Calibri"/>
                <w:color w:val="1E293B"/>
                <w:sz w:val="18"/>
              </w:rPr>
              <w:t>Network Interruption During Dispatch</w:t>
            </w:r>
          </w:p>
        </w:tc>
        <w:tc>
          <w:tcPr>
            <w:tcW w:type="dxa" w:w="2592"/>
            <w:shd w:fill="F8FAFC"/>
            <w:tcMar>
              <w:top w:w="100" w:type="dxa"/>
              <w:bottom w:w="100" w:type="dxa"/>
              <w:left w:w="130" w:type="dxa"/>
              <w:right w:w="130" w:type="dxa"/>
            </w:tcMar>
          </w:tcPr>
          <w:p>
            <w:pPr>
              <w:spacing w:before="40" w:after="40" w:line="252" w:lineRule="auto"/>
            </w:pPr>
            <w:r>
              <w:rPr>
                <w:rFonts w:ascii="Calibri" w:hAnsi="Calibri"/>
                <w:color w:val="1E293B"/>
                <w:sz w:val="18"/>
              </w:rPr>
              <w:t>Command expires locally; retransmission detected via UUID; no double skip</w:t>
            </w:r>
          </w:p>
        </w:tc>
        <w:tc>
          <w:tcPr>
            <w:tcW w:type="dxa" w:w="1584"/>
            <w:shd w:fill="F8FAFC"/>
            <w:tcMar>
              <w:top w:w="100" w:type="dxa"/>
              <w:bottom w:w="100" w:type="dxa"/>
              <w:left w:w="130" w:type="dxa"/>
              <w:right w:w="130" w:type="dxa"/>
            </w:tcMar>
          </w:tcPr>
          <w:p>
            <w:pPr>
              <w:spacing w:before="40" w:after="40" w:line="252" w:lineRule="auto"/>
            </w:pPr>
            <w:r>
              <w:rPr>
                <w:rFonts w:ascii="Calibri" w:hAnsi="Calibri"/>
                <w:color w:val="1E293B"/>
                <w:sz w:val="18"/>
              </w:rPr>
              <w:t>PASSED (Physical Device)</w:t>
            </w:r>
          </w:p>
        </w:tc>
        <w:tc>
          <w:tcPr>
            <w:tcW w:type="dxa" w:w="1440"/>
            <w:shd w:fill="F8FAFC"/>
            <w:tcMar>
              <w:top w:w="100" w:type="dxa"/>
              <w:bottom w:w="100" w:type="dxa"/>
              <w:left w:w="130" w:type="dxa"/>
              <w:right w:w="130" w:type="dxa"/>
            </w:tcMar>
          </w:tcPr>
          <w:p>
            <w:pPr>
              <w:spacing w:before="40" w:after="40" w:line="252" w:lineRule="auto"/>
            </w:pPr>
            <w:r>
              <w:rPr>
                <w:rFonts w:ascii="Calibri" w:hAnsi="Calibri"/>
                <w:color w:val="1E293B"/>
                <w:sz w:val="18"/>
              </w:rPr>
              <w:t>Idempotency Ledger</w:t>
            </w:r>
          </w:p>
        </w:tc>
      </w:tr>
      <w:tr>
        <w:tc>
          <w:tcPr>
            <w:tcW w:type="dxa" w:w="1440"/>
            <w:shd w:fill="FFFFFF"/>
            <w:tcMar>
              <w:top w:w="100" w:type="dxa"/>
              <w:bottom w:w="100" w:type="dxa"/>
              <w:left w:w="130" w:type="dxa"/>
              <w:right w:w="130" w:type="dxa"/>
            </w:tcMar>
          </w:tcPr>
          <w:p>
            <w:pPr>
              <w:spacing w:before="40" w:after="40" w:line="252" w:lineRule="auto"/>
            </w:pPr>
            <w:r>
              <w:rPr>
                <w:rFonts w:ascii="Calibri" w:hAnsi="Calibri"/>
                <w:b/>
                <w:color w:val="1E293B"/>
                <w:sz w:val="18"/>
              </w:rPr>
              <w:t>TC-ACC-07</w:t>
            </w:r>
          </w:p>
        </w:tc>
        <w:tc>
          <w:tcPr>
            <w:tcW w:type="dxa" w:w="2304"/>
            <w:shd w:fill="FFFFFF"/>
            <w:tcMar>
              <w:top w:w="100" w:type="dxa"/>
              <w:bottom w:w="100" w:type="dxa"/>
              <w:left w:w="130" w:type="dxa"/>
              <w:right w:w="130" w:type="dxa"/>
            </w:tcMar>
          </w:tcPr>
          <w:p>
            <w:pPr>
              <w:spacing w:before="40" w:after="40" w:line="252" w:lineRule="auto"/>
            </w:pPr>
            <w:r>
              <w:rPr>
                <w:rFonts w:ascii="Calibri" w:hAnsi="Calibri"/>
                <w:color w:val="1E293B"/>
                <w:sz w:val="18"/>
              </w:rPr>
              <w:t>Expired Command Received (&gt; 8s skew)</w:t>
            </w:r>
          </w:p>
        </w:tc>
        <w:tc>
          <w:tcPr>
            <w:tcW w:type="dxa" w:w="2592"/>
            <w:shd w:fill="FFFFFF"/>
            <w:tcMar>
              <w:top w:w="100" w:type="dxa"/>
              <w:bottom w:w="100" w:type="dxa"/>
              <w:left w:w="130" w:type="dxa"/>
              <w:right w:w="130" w:type="dxa"/>
            </w:tcMar>
          </w:tcPr>
          <w:p>
            <w:pPr>
              <w:spacing w:before="40" w:after="40" w:line="252" w:lineRule="auto"/>
            </w:pPr>
            <w:r>
              <w:rPr>
                <w:rFonts w:ascii="Calibri" w:hAnsi="Calibri"/>
                <w:color w:val="1E293B"/>
                <w:sz w:val="18"/>
              </w:rPr>
              <w:t>Command rejected immediately; ACK REJECTED emitted</w:t>
            </w:r>
          </w:p>
        </w:tc>
        <w:tc>
          <w:tcPr>
            <w:tcW w:type="dxa" w:w="1584"/>
            <w:shd w:fill="FFFFFF"/>
            <w:tcMar>
              <w:top w:w="100" w:type="dxa"/>
              <w:bottom w:w="100" w:type="dxa"/>
              <w:left w:w="130" w:type="dxa"/>
              <w:right w:w="130" w:type="dxa"/>
            </w:tcMar>
          </w:tcPr>
          <w:p>
            <w:pPr>
              <w:spacing w:before="40" w:after="40" w:line="252" w:lineRule="auto"/>
            </w:pPr>
            <w:r>
              <w:rPr>
                <w:rFonts w:ascii="Calibri" w:hAnsi="Calibri"/>
                <w:color w:val="1E293B"/>
                <w:sz w:val="18"/>
              </w:rPr>
              <w:t>PASSED (Physical Device)</w:t>
            </w:r>
          </w:p>
        </w:tc>
        <w:tc>
          <w:tcPr>
            <w:tcW w:type="dxa" w:w="1440"/>
            <w:shd w:fill="FFFFFF"/>
            <w:tcMar>
              <w:top w:w="100" w:type="dxa"/>
              <w:bottom w:w="100" w:type="dxa"/>
              <w:left w:w="130" w:type="dxa"/>
              <w:right w:w="130" w:type="dxa"/>
            </w:tcMar>
          </w:tcPr>
          <w:p>
            <w:pPr>
              <w:spacing w:before="40" w:after="40" w:line="252" w:lineRule="auto"/>
            </w:pPr>
            <w:r>
              <w:rPr>
                <w:rFonts w:ascii="Calibri" w:hAnsi="Calibri"/>
                <w:color w:val="1E293B"/>
                <w:sz w:val="18"/>
              </w:rPr>
              <w:t>Parser Timestamp Guard</w:t>
            </w:r>
          </w:p>
        </w:tc>
      </w:tr>
      <w:tr>
        <w:tc>
          <w:tcPr>
            <w:tcW w:type="dxa" w:w="1440"/>
            <w:shd w:fill="F8FAFC"/>
            <w:tcMar>
              <w:top w:w="100" w:type="dxa"/>
              <w:bottom w:w="100" w:type="dxa"/>
              <w:left w:w="130" w:type="dxa"/>
              <w:right w:w="130" w:type="dxa"/>
            </w:tcMar>
          </w:tcPr>
          <w:p>
            <w:pPr>
              <w:spacing w:before="40" w:after="40" w:line="252" w:lineRule="auto"/>
            </w:pPr>
            <w:r>
              <w:rPr>
                <w:rFonts w:ascii="Calibri" w:hAnsi="Calibri"/>
                <w:b/>
                <w:color w:val="1E293B"/>
                <w:sz w:val="18"/>
              </w:rPr>
              <w:t>TC-ACC-08</w:t>
            </w:r>
          </w:p>
        </w:tc>
        <w:tc>
          <w:tcPr>
            <w:tcW w:type="dxa" w:w="2304"/>
            <w:shd w:fill="F8FAFC"/>
            <w:tcMar>
              <w:top w:w="100" w:type="dxa"/>
              <w:bottom w:w="100" w:type="dxa"/>
              <w:left w:w="130" w:type="dxa"/>
              <w:right w:w="130" w:type="dxa"/>
            </w:tcMar>
          </w:tcPr>
          <w:p>
            <w:pPr>
              <w:spacing w:before="40" w:after="40" w:line="252" w:lineRule="auto"/>
            </w:pPr>
            <w:r>
              <w:rPr>
                <w:rFonts w:ascii="Calibri" w:hAnsi="Calibri"/>
                <w:color w:val="1E293B"/>
                <w:sz w:val="18"/>
              </w:rPr>
              <w:t>Emergency Stop Tapped in Notification</w:t>
            </w:r>
          </w:p>
        </w:tc>
        <w:tc>
          <w:tcPr>
            <w:tcW w:type="dxa" w:w="2592"/>
            <w:shd w:fill="F8FAFC"/>
            <w:tcMar>
              <w:top w:w="100" w:type="dxa"/>
              <w:bottom w:w="100" w:type="dxa"/>
              <w:left w:w="130" w:type="dxa"/>
              <w:right w:w="130" w:type="dxa"/>
            </w:tcMar>
          </w:tcPr>
          <w:p>
            <w:pPr>
              <w:spacing w:before="40" w:after="40" w:line="252" w:lineRule="auto"/>
            </w:pPr>
            <w:r>
              <w:rPr>
                <w:rFonts w:ascii="Calibri" w:hAnsi="Calibri"/>
                <w:color w:val="1E293B"/>
                <w:sz w:val="18"/>
              </w:rPr>
              <w:t>RemoteService stops; MQTT LWT publishes offline; MasterHub updates</w:t>
            </w:r>
          </w:p>
        </w:tc>
        <w:tc>
          <w:tcPr>
            <w:tcW w:type="dxa" w:w="1584"/>
            <w:shd w:fill="F8FAFC"/>
            <w:tcMar>
              <w:top w:w="100" w:type="dxa"/>
              <w:bottom w:w="100" w:type="dxa"/>
              <w:left w:w="130" w:type="dxa"/>
              <w:right w:w="130" w:type="dxa"/>
            </w:tcMar>
          </w:tcPr>
          <w:p>
            <w:pPr>
              <w:spacing w:before="40" w:after="40" w:line="252" w:lineRule="auto"/>
            </w:pPr>
            <w:r>
              <w:rPr>
                <w:rFonts w:ascii="Calibri" w:hAnsi="Calibri"/>
                <w:color w:val="1E293B"/>
                <w:sz w:val="18"/>
              </w:rPr>
              <w:t>PASSED (Physical Device)</w:t>
            </w:r>
          </w:p>
        </w:tc>
        <w:tc>
          <w:tcPr>
            <w:tcW w:type="dxa" w:w="1440"/>
            <w:shd w:fill="F8FAFC"/>
            <w:tcMar>
              <w:top w:w="100" w:type="dxa"/>
              <w:bottom w:w="100" w:type="dxa"/>
              <w:left w:w="130" w:type="dxa"/>
              <w:right w:w="130" w:type="dxa"/>
            </w:tcMar>
          </w:tcPr>
          <w:p>
            <w:pPr>
              <w:spacing w:before="40" w:after="40" w:line="252" w:lineRule="auto"/>
            </w:pPr>
            <w:r>
              <w:rPr>
                <w:rFonts w:ascii="Calibri" w:hAnsi="Calibri"/>
                <w:color w:val="1E293B"/>
                <w:sz w:val="18"/>
              </w:rPr>
              <w:t>Service Destruction Hook</w:t>
            </w:r>
          </w:p>
        </w:tc>
      </w:tr>
    </w:tbl>
    <w:p>
      <w:pPr>
        <w:spacing w:before="0" w:after="120"/>
      </w:pPr>
    </w:p>
    <w:p>
      <w:r>
        <w:br w:type="page"/>
      </w:r>
    </w:p>
    <w:p>
      <w:pPr>
        <w:keepNext/>
        <w:spacing w:before="360" w:after="160"/>
      </w:pPr>
      <w:r>
        <w:rPr>
          <w:rFonts w:ascii="Arial" w:hAnsi="Arial"/>
          <w:b/>
          <w:color w:val="1E3A8A"/>
          <w:sz w:val="36"/>
        </w:rPr>
        <w:t>Chapter 13: Deployment, Build Engineering &amp; Reproducibility Guide</w:t>
      </w:r>
    </w:p>
    <w:p>
      <w:pPr>
        <w:keepNext/>
        <w:spacing w:before="280" w:after="120"/>
      </w:pPr>
      <w:r>
        <w:rPr>
          <w:rFonts w:ascii="Arial" w:hAnsi="Arial"/>
          <w:b/>
          <w:color w:val="0D9488"/>
          <w:sz w:val="26"/>
        </w:rPr>
        <w:t>13.1 Android Build Chain &amp; JDK Requirements</w:t>
      </w:r>
    </w:p>
    <w:p>
      <w:pPr>
        <w:spacing w:before="0" w:after="120" w:line="276" w:lineRule="auto"/>
        <w:jc w:val="both"/>
      </w:pPr>
      <w:r>
        <w:rPr>
          <w:rFonts w:ascii="Calibri" w:hAnsi="Calibri"/>
          <w:color w:val="1E293B"/>
          <w:sz w:val="21"/>
        </w:rPr>
        <w:t>The Android companion project requires Android Gradle Plugin (AGP) 8.9.2 and Gradle 8.11.1. A critical build prerequisite is that AGP 8.9+ strictly mandates a Java 17 (JDK 17) or Java 21 build runtime. Running gradlew on systems where the default command-line JAVA_HOME points to legacy Java 8 (1.8) will fail configuration. Developers must ensure JAVA_HOME is mapped to Android Studio's bundled JBR (JetBrains Runtime) or OpenJDK 17:</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64748B"/>
              <w:top w:val="none"/>
              <w:right w:val="none"/>
              <w:bottom w:val="none"/>
            </w:tcBorders>
            <w:tcMar>
              <w:top w:w="100" w:type="dxa"/>
              <w:bottom w:w="100" w:type="dxa"/>
              <w:left w:w="140" w:type="dxa"/>
              <w:right w:w="120" w:type="dxa"/>
            </w:tcMar>
          </w:tcPr>
          <w:p>
            <w:pPr>
              <w:spacing w:before="0" w:after="0" w:line="252" w:lineRule="auto"/>
            </w:pPr>
            <w:r>
              <w:rPr>
                <w:rFonts w:ascii="Consolas" w:hAnsi="Consolas"/>
                <w:color w:val="0F172A"/>
                <w:sz w:val="17"/>
              </w:rPr>
              <w:t># PowerShell Environment Configuration</w:t>
              <w:br/>
              <w:t>$env:JAVA_HOME = "C:\Program Files\Android\Android Studio\jbr"</w:t>
              <w:br/>
              <w:t>Set-Location "D:\GALATICX\BCI_remotecontroll_jiosaavn"</w:t>
              <w:br/>
              <w:t>.\gradlew.bat testDebugUnitTest assembleDebug</w:t>
            </w:r>
          </w:p>
        </w:tc>
      </w:tr>
    </w:tbl>
    <w:p>
      <w:pPr>
        <w:spacing w:before="0" w:after="120"/>
      </w:pPr>
    </w:p>
    <w:p>
      <w:pPr>
        <w:keepNext/>
        <w:spacing w:before="280" w:after="120"/>
      </w:pPr>
      <w:r>
        <w:rPr>
          <w:rFonts w:ascii="Arial" w:hAnsi="Arial"/>
          <w:b/>
          <w:color w:val="0D9488"/>
          <w:sz w:val="26"/>
        </w:rPr>
        <w:t>13.2 MasterHub Environment Variables (.env)</w:t>
      </w:r>
    </w:p>
    <w:p>
      <w:pPr>
        <w:spacing w:before="0" w:after="120" w:line="276" w:lineRule="auto"/>
        <w:jc w:val="both"/>
      </w:pPr>
      <w:r>
        <w:rPr>
          <w:rFonts w:ascii="Calibri" w:hAnsi="Calibri"/>
          <w:color w:val="1E293B"/>
          <w:sz w:val="21"/>
        </w:rPr>
        <w:t>To link MasterHub to the mobile companion, add the following configuration parameters to MasterHub's root .env file:</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64748B"/>
              <w:top w:val="none"/>
              <w:right w:val="none"/>
              <w:bottom w:val="none"/>
            </w:tcBorders>
            <w:tcMar>
              <w:top w:w="100" w:type="dxa"/>
              <w:bottom w:w="100" w:type="dxa"/>
              <w:left w:w="140" w:type="dxa"/>
              <w:right w:w="120" w:type="dxa"/>
            </w:tcMar>
          </w:tcPr>
          <w:p>
            <w:pPr>
              <w:spacing w:before="0" w:after="0" w:line="252" w:lineRule="auto"/>
            </w:pPr>
            <w:r>
              <w:rPr>
                <w:rFonts w:ascii="Consolas" w:hAnsi="Consolas"/>
                <w:color w:val="0F172A"/>
                <w:sz w:val="17"/>
              </w:rPr>
              <w:t># Dedicated BCI Mobile MQTT Companion Configuration</w:t>
              <w:br/>
              <w:t>BCI_MOBILE_MQTT_HOST=broker.emqx.io</w:t>
              <w:br/>
              <w:t>BCI_MOBILE_MQTT_PORT=1883</w:t>
              <w:br/>
              <w:t>BCI_MOBILE_COMMANDS_TOPIC=bci/rohan/commands</w:t>
              <w:br/>
              <w:t>BCI_MOBILE_CONTROL_TOPIC=bci/rohan/control</w:t>
              <w:br/>
              <w:t>BCI_MOBILE_ACK_TOPIC=bci/rohan/ack</w:t>
              <w:br/>
              <w:t>BCI_MOBILE_MEDIA_TOPIC=bci/rohan/media</w:t>
              <w:br/>
              <w:t>BCI_MOBILE_STATUS_TOPIC=bci/rohan/status</w:t>
              <w:br/>
              <w:t>BCI_MOBILE_HEARTBEAT_TOPIC=bci/rohan/heartbeat</w:t>
              <w:br/>
              <w:t>BCI_MOBILE_ACK_TIMEOUT=8.0</w:t>
              <w:br/>
              <w:t>BCI_MOBILE_HEARTBEAT_TIMEOUT=35.0</w:t>
            </w:r>
          </w:p>
        </w:tc>
      </w:tr>
    </w:tbl>
    <w:p>
      <w:pPr>
        <w:spacing w:before="0" w:after="120"/>
      </w:pPr>
    </w:p>
    <w:p>
      <w:r>
        <w:br w:type="page"/>
      </w:r>
    </w:p>
    <w:p>
      <w:pPr>
        <w:keepNext/>
        <w:spacing w:before="360" w:after="160"/>
      </w:pPr>
      <w:r>
        <w:rPr>
          <w:rFonts w:ascii="Arial" w:hAnsi="Arial"/>
          <w:b/>
          <w:color w:val="1E3A8A"/>
          <w:sz w:val="36"/>
        </w:rPr>
        <w:t>Chapter 14: Future Roadmap &amp; Advanced Research Directions</w:t>
      </w:r>
    </w:p>
    <w:p>
      <w:pPr>
        <w:spacing w:before="0" w:after="120" w:line="276" w:lineRule="auto"/>
        <w:jc w:val="both"/>
      </w:pPr>
      <w:r>
        <w:rPr>
          <w:rFonts w:ascii="Calibri" w:hAnsi="Calibri"/>
          <w:color w:val="1E293B"/>
          <w:sz w:val="21"/>
        </w:rPr>
        <w:t>While Protocol v1.0 achieves robust deterministic playback control, continuous engineering will expand system capabilities across four domains:</w:t>
      </w:r>
    </w:p>
    <w:p>
      <w:pPr>
        <w:pStyle w:val="ListBullet"/>
        <w:spacing w:before="0" w:after="60" w:line="276" w:lineRule="auto"/>
      </w:pPr>
      <w:r>
        <w:rPr>
          <w:rFonts w:ascii="Calibri" w:hAnsi="Calibri"/>
          <w:b/>
          <w:color w:val="1E293B"/>
          <w:sz w:val="21"/>
        </w:rPr>
        <w:t xml:space="preserve">1. Automated Search-and-Play Result Traversal: </w:t>
      </w:r>
      <w:r>
        <w:rPr>
          <w:rFonts w:ascii="Calibri" w:hAnsi="Calibri"/>
          <w:color w:val="1E293B"/>
          <w:sz w:val="21"/>
        </w:rPr>
        <w:t>Enhance BciAccessibilityService with automated heuristics to inspect RecyclerView / ListView search results, automatically clicking the top ranked audio match without requiring manual phone screen intervention.</w:t>
      </w:r>
    </w:p>
    <w:p>
      <w:pPr>
        <w:pStyle w:val="ListBullet"/>
        <w:spacing w:before="0" w:after="60" w:line="276" w:lineRule="auto"/>
      </w:pPr>
      <w:r>
        <w:rPr>
          <w:rFonts w:ascii="Calibri" w:hAnsi="Calibri"/>
          <w:b/>
          <w:color w:val="1E293B"/>
          <w:sz w:val="21"/>
        </w:rPr>
        <w:t xml:space="preserve">2. Multi-App Streaming Federation: </w:t>
      </w:r>
      <w:r>
        <w:rPr>
          <w:rFonts w:ascii="Calibri" w:hAnsi="Calibri"/>
          <w:color w:val="1E293B"/>
          <w:sz w:val="21"/>
        </w:rPr>
        <w:t>Generalize MediaEngine's package inspection beyond JioSaavn to support dynamic switching across Spotify (com.spotify.music), YouTube Music (com.google.android.apps.youtube.music), and Apple Music based on active BCI profile.</w:t>
      </w:r>
    </w:p>
    <w:p>
      <w:pPr>
        <w:pStyle w:val="ListBullet"/>
        <w:spacing w:before="0" w:after="60" w:line="276" w:lineRule="auto"/>
      </w:pPr>
      <w:r>
        <w:rPr>
          <w:rFonts w:ascii="Calibri" w:hAnsi="Calibri"/>
          <w:b/>
          <w:color w:val="1E293B"/>
          <w:sz w:val="21"/>
        </w:rPr>
        <w:t xml:space="preserve">3. On-Device Edge Intent Decoding: </w:t>
      </w:r>
      <w:r>
        <w:rPr>
          <w:rFonts w:ascii="Calibri" w:hAnsi="Calibri"/>
          <w:color w:val="1E293B"/>
          <w:sz w:val="21"/>
        </w:rPr>
        <w:t>Deploy lightweight TensorFlow Lite / ONNX neural networks directly onto Android Neural Processing Units (NPUs) to decode raw BLE EEG streams locally, bypassing PC mediation entirely.</w:t>
      </w:r>
    </w:p>
    <w:p>
      <w:pPr>
        <w:pStyle w:val="ListBullet"/>
        <w:spacing w:before="0" w:after="60" w:line="276" w:lineRule="auto"/>
      </w:pPr>
      <w:r>
        <w:rPr>
          <w:rFonts w:ascii="Calibri" w:hAnsi="Calibri"/>
          <w:b/>
          <w:color w:val="1E293B"/>
          <w:sz w:val="21"/>
        </w:rPr>
        <w:t xml:space="preserve">4. Bidirectional Haptic Biofeedback: </w:t>
      </w:r>
      <w:r>
        <w:rPr>
          <w:rFonts w:ascii="Calibri" w:hAnsi="Calibri"/>
          <w:color w:val="1E293B"/>
          <w:sz w:val="21"/>
        </w:rPr>
        <w:t>Utilize the Android linear resonant actuator (vibration motor) to deliver distinct tactile haptic pulses (e.g. double click for Next, long pulse for Play/Pause) confirming command receipt directly to the user.</w:t>
      </w:r>
    </w:p>
    <w:p>
      <w:r>
        <w:br w:type="page"/>
      </w:r>
    </w:p>
    <w:p>
      <w:pPr>
        <w:keepNext/>
        <w:spacing w:before="360" w:after="160"/>
      </w:pPr>
      <w:r>
        <w:rPr>
          <w:rFonts w:ascii="Arial" w:hAnsi="Arial"/>
          <w:b/>
          <w:color w:val="1E3A8A"/>
          <w:sz w:val="36"/>
        </w:rPr>
        <w:t>Chapter 15: Conclusion &amp; Research References</w:t>
      </w:r>
    </w:p>
    <w:p>
      <w:pPr>
        <w:spacing w:before="0" w:after="120" w:line="276" w:lineRule="auto"/>
        <w:jc w:val="both"/>
      </w:pPr>
      <w:r>
        <w:rPr>
          <w:rFonts w:ascii="Calibri" w:hAnsi="Calibri"/>
          <w:color w:val="1E293B"/>
          <w:sz w:val="21"/>
        </w:rPr>
        <w:t>This research monograph has articulated the complete architecture, protocol specification, and empirical validation of the MasterHub BCI JioSaavn Remote companion platform. By bridging stochastic neural decoders with strict mobile operating system sandboxes via a dual-tier MediaController and AccessibilityService engine, the system delivers deterministic, low-latency, and crash-resilient assistive entertainment control. The architecture establishes a foundational blueprint for non-invasive cyber-physical interfaces across modern mobile platforms.</w:t>
      </w:r>
    </w:p>
    <w:p>
      <w:pPr>
        <w:keepNext/>
        <w:spacing w:before="280" w:after="120"/>
      </w:pPr>
      <w:r>
        <w:rPr>
          <w:rFonts w:ascii="Arial" w:hAnsi="Arial"/>
          <w:b/>
          <w:color w:val="0D9488"/>
          <w:sz w:val="26"/>
        </w:rPr>
        <w:t>Academic &amp; Engineering References</w:t>
      </w:r>
    </w:p>
    <w:p>
      <w:pPr>
        <w:spacing w:before="0" w:after="80"/>
      </w:pPr>
      <w:r>
        <w:rPr>
          <w:rFonts w:ascii="Calibri" w:hAnsi="Calibri"/>
          <w:color w:val="1E293B"/>
          <w:sz w:val="19"/>
        </w:rPr>
        <w:t>[1] Wolpaw, J. R., et al. 'Brain–computer interfaces for communication and control.' Clinical Neurophysiology 113.6 (2002): 767-791.</w:t>
      </w:r>
    </w:p>
    <w:p>
      <w:pPr>
        <w:spacing w:before="0" w:after="80"/>
      </w:pPr>
      <w:r>
        <w:rPr>
          <w:rFonts w:ascii="Calibri" w:hAnsi="Calibri"/>
          <w:color w:val="1E293B"/>
          <w:sz w:val="19"/>
        </w:rPr>
        <w:t>[2] Android Open Source Project. 'MediaSession and MediaController IPC Architecture.' Google Developer Documentation (2024). https://developer.android.com/reference/android/media/session/MediaSessionManager</w:t>
      </w:r>
    </w:p>
    <w:p>
      <w:pPr>
        <w:spacing w:before="0" w:after="80"/>
      </w:pPr>
      <w:r>
        <w:rPr>
          <w:rFonts w:ascii="Calibri" w:hAnsi="Calibri"/>
          <w:color w:val="1E293B"/>
          <w:sz w:val="19"/>
        </w:rPr>
        <w:t>[3] Android Open Source Project. 'Foreground Service Types and Special Use Declarations in Android 14+.' (2024). https://developer.android.com/develop/background-work/services/fgs/service-types</w:t>
      </w:r>
    </w:p>
    <w:p>
      <w:pPr>
        <w:spacing w:before="0" w:after="80"/>
      </w:pPr>
      <w:r>
        <w:rPr>
          <w:rFonts w:ascii="Calibri" w:hAnsi="Calibri"/>
          <w:color w:val="1E293B"/>
          <w:sz w:val="19"/>
        </w:rPr>
        <w:t>[4] Banks, A., &amp; Gupta, R. 'MQTT Version 3.1.1 Specification.' OASIS Standard (2014). http://docs.oasis-open.org/mqtt/mqtt/v3.1.1/os/mqtt-v3.1.1-os.html</w:t>
      </w:r>
    </w:p>
    <w:p>
      <w:pPr>
        <w:spacing w:before="0" w:after="80"/>
      </w:pPr>
      <w:r>
        <w:rPr>
          <w:rFonts w:ascii="Calibri" w:hAnsi="Calibri"/>
          <w:color w:val="1E293B"/>
          <w:sz w:val="19"/>
        </w:rPr>
        <w:t>[5] Blankertz, B., et al. 'The Berlin Brain-Computer Interface: Accurate performance from first-session in BCI-naive subjects.' IEEE Transactions on Biomedical Engineering 55.8 (2008): 1982-1990.</w:t>
      </w:r>
    </w:p>
    <w:p>
      <w:pPr>
        <w:spacing w:before="0" w:after="80"/>
      </w:pPr>
      <w:r>
        <w:rPr>
          <w:rFonts w:ascii="Calibri" w:hAnsi="Calibri"/>
          <w:color w:val="1E293B"/>
          <w:sz w:val="19"/>
        </w:rPr>
        <w:t>[6] MasterHub Research Lab. 'MasterHub / BCI JioSaavn Remote Protocol v1.0.' Technical Monograph, GalaticX Ecosystem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8C96A0"/>
        <w:sz w:val="17"/>
      </w:rPr>
      <w:t>CONFIDENTIAL &amp; PROPRIETARY — GALATICX ECOSYSTEM</w:t>
      <w:tab/>
      <w:tab/>
    </w:r>
    <w:r>
      <w:rPr>
        <w:rFonts w:ascii="Calibri" w:hAnsi="Calibri"/>
        <w:color w:val="8C96A0"/>
        <w:sz w:val="17"/>
      </w:rPr>
      <w:t>Technical Specification v1.0.4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MasterHub IoT &amp; Neural Interface Research | BCI JioSaavn Companion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