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0"/>
        </w:rPr>
        <w:t>MASTER HUB TECHNICAL RESEARCH REPORT &amp; EXECUTION SPECIFICATION</w:t>
      </w:r>
    </w:p>
    <w:p>
      <w:pPr>
        <w:jc w:val="center"/>
      </w:pPr>
      <w:r>
        <w:rPr>
          <w:b/>
          <w:color w:val="0F172A"/>
          <w:sz w:val="48"/>
        </w:rPr>
        <w:t>Real-Time Device Coordination &amp;</w:t>
        <w:br/>
        <w:t>Response Timing Optimization</w:t>
      </w:r>
    </w:p>
    <w:p>
      <w:pPr>
        <w:jc w:val="center"/>
      </w:pPr>
      <w:r>
        <w:rPr>
          <w:color w:val="475569"/>
          <w:sz w:val="23"/>
        </w:rPr>
        <w:t>Comprehensive Research on Multi-Device Execution, End-to-End Latency Benchmarking, Burst Testing, Conflict Arbitration, Full-Duplex Serial (Raspberry Pi 5 &lt;-&gt; Desktop), and Python Core Routing Behavior</w:t>
      </w:r>
    </w:p>
    <w:p>
      <w:pPr>
        <w:spacing w:after="400"/>
        <w:jc w:val="center"/>
      </w:pPr>
      <w:r>
        <w:rPr>
          <w:i/>
          <w:color w:val="64748B"/>
          <w:sz w:val="19"/>
        </w:rPr>
        <w:t>Author: Master Hub Core &amp; IoT / Embedded Team  |  Status: Validated Specification  |  Version: 3.0</w:t>
      </w:r>
    </w:p>
    <w:p>
      <w:r>
        <w:br w:type="page"/>
      </w:r>
    </w:p>
    <w:p>
      <w:pPr>
        <w:pStyle w:val="Heading1"/>
      </w:pPr>
      <w:r>
        <w:t>1. Executive Summary &amp; Deliverable Target</w:t>
      </w:r>
    </w:p>
    <w:p>
      <w:r>
        <w:t>Modern assistive and smart automation ecosystems demand deterministic, low-latency, and safe real-time device coordination. The Master Hub acts as the multimodal central intelligence uniting Brain-Computer Interface (BCI) neural inputs, Smart Home IoT actuators (ESP32 relays, fans, pumps), Embedded Mobility systems (Smart Wheelchairs, Robotic Scout Cars), Local Desktop applications (Chrome, Notepad, Media controls), and Edge Neural Co-processors (Raspberry Pi 5 via high-speed serial UART).</w:t>
      </w:r>
    </w:p>
    <w:p>
      <w:r>
        <w:t>This research report and validation plan directly fulfills the project's core focus and execution tasks:</w:t>
        <w:br/>
        <w:t>1. Validating real-time command execution across multiple IoT devices.</w:t>
        <w:br/>
        <w:t>2. Measuring command-to-device response time with microsecond-level profiling across all pipeline stages.</w:t>
        <w:br/>
        <w:t>3. Engineering system-wide response timing optimizations across Python Hub, network transports, and edge firmware.</w:t>
        <w:br/>
        <w:t>4. Stress-testing rapid successive command bursts and preventing queue saturation.</w:t>
        <w:br/>
        <w:t>5. Validating concurrent device behavior during simultaneous command reception and mitigating inrush currents.</w:t>
        <w:br/>
        <w:t>6. Establishing deterministic arbitration for conflicting, concurrent, or repeated command streams.</w:t>
        <w:br/>
        <w:t>7. Architecting the high-speed full-duplex serial communication bridge between Raspberry Pi 5 and Desktop for Python AI/ML workloads.</w:t>
        <w:br/>
        <w:t>8. Coordinating with the Python development team to validate and formalize Master Hub routing behavior.</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rFonts w:ascii="Calibri" w:hAnsi="Calibri"/>
                <w:b/>
                <w:color w:val="16A34A"/>
                <w:sz w:val="20"/>
              </w:rPr>
              <w:t xml:space="preserve">[DELIVERABLE TARGET] </w:t>
            </w:r>
            <w:r>
              <w:rPr>
                <w:rFonts w:ascii="Calibri" w:hAnsi="Calibri"/>
                <w:color w:val="1E293B"/>
                <w:sz w:val="20"/>
              </w:rPr>
              <w:t>Deliverable Mandate: Real-time multi-device execution validated with optimized response timing (Total latency reduced from 440ms baseline to &lt;65ms across IoT and &lt;25ms over high-speed Serial).</w:t>
            </w:r>
          </w:p>
        </w:tc>
      </w:tr>
    </w:tbl>
    <w:p/>
    <w:p>
      <w:pPr>
        <w:jc w:val="center"/>
      </w:pPr>
      <w:r>
        <w:drawing>
          <wp:inline xmlns:a="http://schemas.openxmlformats.org/drawingml/2006/main" xmlns:pic="http://schemas.openxmlformats.org/drawingml/2006/picture">
            <wp:extent cx="5669280" cy="3263043"/>
            <wp:docPr id="1" name="Picture 1"/>
            <wp:cNvGraphicFramePr>
              <a:graphicFrameLocks noChangeAspect="1"/>
            </wp:cNvGraphicFramePr>
            <a:graphic>
              <a:graphicData uri="http://schemas.openxmlformats.org/drawingml/2006/picture">
                <pic:pic>
                  <pic:nvPicPr>
                    <pic:cNvPr id="0" name="arch_flowchart.png"/>
                    <pic:cNvPicPr/>
                  </pic:nvPicPr>
                  <pic:blipFill>
                    <a:blip r:embed="rId9"/>
                    <a:stretch>
                      <a:fillRect/>
                    </a:stretch>
                  </pic:blipFill>
                  <pic:spPr>
                    <a:xfrm>
                      <a:off x="0" y="0"/>
                      <a:ext cx="5669280" cy="3263043"/>
                    </a:xfrm>
                    <a:prstGeom prst="rect"/>
                  </pic:spPr>
                </pic:pic>
              </a:graphicData>
            </a:graphic>
          </wp:inline>
        </w:drawing>
      </w:r>
    </w:p>
    <w:p>
      <w:pPr>
        <w:jc w:val="center"/>
      </w:pPr>
      <w:r>
        <w:rPr>
          <w:i/>
          <w:color w:val="475569"/>
          <w:sz w:val="18"/>
        </w:rPr>
        <w:t>Figure 1: Master Hub Multimodal System Architecture &amp; Command Processing Flow</w:t>
      </w:r>
    </w:p>
    <w:p>
      <w:pPr>
        <w:pStyle w:val="Heading1"/>
      </w:pPr>
      <w:r>
        <w:t>2. Task 1: Real-Time Multi-Device Command Execution</w:t>
      </w:r>
    </w:p>
    <w:p>
      <w:r>
        <w:t>Real-time coordination requires dispatching actionable commands to heterogeneous endpoints simultaneously without inter-device serialization bottlenecks. The hardware topology spans multiple physical microcontroller nodes, embedded robotics, desktop automation runtimes, and edge processors.</w:t>
      </w:r>
    </w:p>
    <w:p>
      <w:pPr>
        <w:pStyle w:val="Heading2"/>
      </w:pPr>
      <w:r>
        <w:t>2.1 Heterogeneous Multi-Device Topology Catalog</w:t>
      </w:r>
    </w:p>
    <w:p>
      <w:r>
        <w:t>Table 1 details the active nodes, protocols, and control payloads validated in the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172A"/>
            <w:tcMar>
              <w:top w:w="120" w:type="dxa"/>
              <w:bottom w:w="120" w:type="dxa"/>
              <w:left w:w="140" w:type="dxa"/>
              <w:right w:w="140" w:type="dxa"/>
            </w:tcMar>
          </w:tcPr>
          <w:p>
            <w:pPr>
              <w:jc w:val="left"/>
            </w:pPr>
            <w:r>
              <w:rPr>
                <w:rFonts w:ascii="Calibri" w:hAnsi="Calibri"/>
                <w:b/>
                <w:color w:val="F8FAFC"/>
                <w:sz w:val="19"/>
              </w:rPr>
              <w:t>Device Domain</w:t>
            </w:r>
          </w:p>
        </w:tc>
        <w:tc>
          <w:tcPr>
            <w:tcW w:type="dxa" w:w="2160"/>
            <w:shd w:fill="0F172A"/>
            <w:tcMar>
              <w:top w:w="120" w:type="dxa"/>
              <w:bottom w:w="120" w:type="dxa"/>
              <w:left w:w="140" w:type="dxa"/>
              <w:right w:w="140" w:type="dxa"/>
            </w:tcMar>
          </w:tcPr>
          <w:p>
            <w:pPr>
              <w:jc w:val="left"/>
            </w:pPr>
            <w:r>
              <w:rPr>
                <w:rFonts w:ascii="Calibri" w:hAnsi="Calibri"/>
                <w:b/>
                <w:color w:val="F8FAFC"/>
                <w:sz w:val="19"/>
              </w:rPr>
              <w:t>Device Identifier / Node</w:t>
            </w:r>
          </w:p>
        </w:tc>
        <w:tc>
          <w:tcPr>
            <w:tcW w:type="dxa" w:w="1584"/>
            <w:shd w:fill="0F172A"/>
            <w:tcMar>
              <w:top w:w="120" w:type="dxa"/>
              <w:bottom w:w="120" w:type="dxa"/>
              <w:left w:w="140" w:type="dxa"/>
              <w:right w:w="140" w:type="dxa"/>
            </w:tcMar>
          </w:tcPr>
          <w:p>
            <w:pPr>
              <w:jc w:val="left"/>
            </w:pPr>
            <w:r>
              <w:rPr>
                <w:rFonts w:ascii="Calibri" w:hAnsi="Calibri"/>
                <w:b/>
                <w:color w:val="F8FAFC"/>
                <w:sz w:val="19"/>
              </w:rPr>
              <w:t>Protocol</w:t>
            </w:r>
          </w:p>
        </w:tc>
        <w:tc>
          <w:tcPr>
            <w:tcW w:type="dxa" w:w="1872"/>
            <w:shd w:fill="0F172A"/>
            <w:tcMar>
              <w:top w:w="120" w:type="dxa"/>
              <w:bottom w:w="120" w:type="dxa"/>
              <w:left w:w="140" w:type="dxa"/>
              <w:right w:w="140" w:type="dxa"/>
            </w:tcMar>
          </w:tcPr>
          <w:p>
            <w:pPr>
              <w:jc w:val="left"/>
            </w:pPr>
            <w:r>
              <w:rPr>
                <w:rFonts w:ascii="Calibri" w:hAnsi="Calibri"/>
                <w:b/>
                <w:color w:val="F8FAFC"/>
                <w:sz w:val="19"/>
              </w:rPr>
              <w:t>Topic / Target</w:t>
            </w:r>
          </w:p>
        </w:tc>
        <w:tc>
          <w:tcPr>
            <w:tcW w:type="dxa" w:w="2016"/>
            <w:shd w:fill="0F172A"/>
            <w:tcMar>
              <w:top w:w="120" w:type="dxa"/>
              <w:bottom w:w="120" w:type="dxa"/>
              <w:left w:w="140" w:type="dxa"/>
              <w:right w:w="140" w:type="dxa"/>
            </w:tcMar>
          </w:tcPr>
          <w:p>
            <w:pPr>
              <w:jc w:val="left"/>
            </w:pPr>
            <w:r>
              <w:rPr>
                <w:rFonts w:ascii="Calibri" w:hAnsi="Calibri"/>
                <w:b/>
                <w:color w:val="F8FAFC"/>
                <w:sz w:val="19"/>
              </w:rPr>
              <w:t>Command Payloads</w:t>
            </w:r>
          </w:p>
        </w:tc>
      </w:tr>
      <w:tr>
        <w:tc>
          <w:tcPr>
            <w:tcW w:type="dxa" w:w="1728"/>
            <w:tcMar>
              <w:top w:w="90" w:type="dxa"/>
              <w:bottom w:w="90" w:type="dxa"/>
              <w:left w:w="140" w:type="dxa"/>
              <w:right w:w="140" w:type="dxa"/>
            </w:tcMar>
          </w:tcPr>
          <w:p>
            <w:r>
              <w:rPr>
                <w:rFonts w:ascii="Calibri" w:hAnsi="Calibri"/>
                <w:color w:val="334155"/>
                <w:sz w:val="18"/>
              </w:rPr>
              <w:t>IoT Appliances</w:t>
            </w:r>
          </w:p>
        </w:tc>
        <w:tc>
          <w:tcPr>
            <w:tcW w:type="dxa" w:w="2160"/>
            <w:tcMar>
              <w:top w:w="90" w:type="dxa"/>
              <w:bottom w:w="90" w:type="dxa"/>
              <w:left w:w="140" w:type="dxa"/>
              <w:right w:w="140" w:type="dxa"/>
            </w:tcMar>
          </w:tcPr>
          <w:p>
            <w:r>
              <w:rPr>
                <w:rFonts w:ascii="Calibri" w:hAnsi="Calibri"/>
                <w:color w:val="334155"/>
                <w:sz w:val="18"/>
              </w:rPr>
              <w:t>ESP32 Node A (ESP32_RELAY_01)</w:t>
            </w:r>
          </w:p>
        </w:tc>
        <w:tc>
          <w:tcPr>
            <w:tcW w:type="dxa" w:w="1584"/>
            <w:tcMar>
              <w:top w:w="90" w:type="dxa"/>
              <w:bottom w:w="90" w:type="dxa"/>
              <w:left w:w="140" w:type="dxa"/>
              <w:right w:w="140" w:type="dxa"/>
            </w:tcMar>
          </w:tcPr>
          <w:p>
            <w:r>
              <w:rPr>
                <w:rFonts w:ascii="Calibri" w:hAnsi="Calibri"/>
                <w:color w:val="334155"/>
                <w:sz w:val="18"/>
              </w:rPr>
              <w:t>MQTT (JSON Envelope)</w:t>
            </w:r>
          </w:p>
        </w:tc>
        <w:tc>
          <w:tcPr>
            <w:tcW w:type="dxa" w:w="1872"/>
            <w:tcMar>
              <w:top w:w="90" w:type="dxa"/>
              <w:bottom w:w="90" w:type="dxa"/>
              <w:left w:w="140" w:type="dxa"/>
              <w:right w:w="140" w:type="dxa"/>
            </w:tcMar>
          </w:tcPr>
          <w:p>
            <w:r>
              <w:rPr>
                <w:rFonts w:ascii="Calibri" w:hAnsi="Calibri"/>
                <w:color w:val="334155"/>
                <w:sz w:val="18"/>
              </w:rPr>
              <w:t>iot/device/{id}/action</w:t>
            </w:r>
          </w:p>
        </w:tc>
        <w:tc>
          <w:tcPr>
            <w:tcW w:type="dxa" w:w="2016"/>
            <w:tcMar>
              <w:top w:w="90" w:type="dxa"/>
              <w:bottom w:w="90" w:type="dxa"/>
              <w:left w:w="140" w:type="dxa"/>
              <w:right w:w="140" w:type="dxa"/>
            </w:tcMar>
          </w:tcPr>
          <w:p>
            <w:r>
              <w:rPr>
                <w:rFonts w:ascii="Calibri" w:hAnsi="Calibri"/>
                <w:color w:val="334155"/>
                <w:sz w:val="18"/>
              </w:rPr>
              <w:t>Left_light_on, Right_light_on, all_off</w:t>
            </w:r>
          </w:p>
        </w:tc>
      </w:tr>
      <w:tr>
        <w:tc>
          <w:tcPr>
            <w:tcW w:type="dxa" w:w="1728"/>
            <w:tcMar>
              <w:top w:w="90" w:type="dxa"/>
              <w:bottom w:w="90" w:type="dxa"/>
              <w:left w:w="140" w:type="dxa"/>
              <w:right w:w="140" w:type="dxa"/>
            </w:tcMar>
          </w:tcPr>
          <w:p>
            <w:r>
              <w:rPr>
                <w:rFonts w:ascii="Calibri" w:hAnsi="Calibri"/>
                <w:color w:val="334155"/>
                <w:sz w:val="18"/>
              </w:rPr>
              <w:t>IoT Climate</w:t>
            </w:r>
          </w:p>
        </w:tc>
        <w:tc>
          <w:tcPr>
            <w:tcW w:type="dxa" w:w="2160"/>
            <w:tcMar>
              <w:top w:w="90" w:type="dxa"/>
              <w:bottom w:w="90" w:type="dxa"/>
              <w:left w:w="140" w:type="dxa"/>
              <w:right w:w="140" w:type="dxa"/>
            </w:tcMar>
          </w:tcPr>
          <w:p>
            <w:r>
              <w:rPr>
                <w:rFonts w:ascii="Calibri" w:hAnsi="Calibri"/>
                <w:color w:val="334155"/>
                <w:sz w:val="18"/>
              </w:rPr>
              <w:t>ESP32 Node B (Ventilation)</w:t>
            </w:r>
          </w:p>
        </w:tc>
        <w:tc>
          <w:tcPr>
            <w:tcW w:type="dxa" w:w="1584"/>
            <w:tcMar>
              <w:top w:w="90" w:type="dxa"/>
              <w:bottom w:w="90" w:type="dxa"/>
              <w:left w:w="140" w:type="dxa"/>
              <w:right w:w="140" w:type="dxa"/>
            </w:tcMar>
          </w:tcPr>
          <w:p>
            <w:r>
              <w:rPr>
                <w:rFonts w:ascii="Calibri" w:hAnsi="Calibri"/>
                <w:color w:val="334155"/>
                <w:sz w:val="18"/>
              </w:rPr>
              <w:t>MQTT (JSON Envelope)</w:t>
            </w:r>
          </w:p>
        </w:tc>
        <w:tc>
          <w:tcPr>
            <w:tcW w:type="dxa" w:w="1872"/>
            <w:tcMar>
              <w:top w:w="90" w:type="dxa"/>
              <w:bottom w:w="90" w:type="dxa"/>
              <w:left w:w="140" w:type="dxa"/>
              <w:right w:w="140" w:type="dxa"/>
            </w:tcMar>
          </w:tcPr>
          <w:p>
            <w:r>
              <w:rPr>
                <w:rFonts w:ascii="Calibri" w:hAnsi="Calibri"/>
                <w:color w:val="334155"/>
                <w:sz w:val="18"/>
              </w:rPr>
              <w:t>iot/device/{id}/action</w:t>
            </w:r>
          </w:p>
        </w:tc>
        <w:tc>
          <w:tcPr>
            <w:tcW w:type="dxa" w:w="2016"/>
            <w:tcMar>
              <w:top w:w="90" w:type="dxa"/>
              <w:bottom w:w="90" w:type="dxa"/>
              <w:left w:w="140" w:type="dxa"/>
              <w:right w:w="140" w:type="dxa"/>
            </w:tcMar>
          </w:tcPr>
          <w:p>
            <w:r>
              <w:rPr>
                <w:rFonts w:ascii="Calibri" w:hAnsi="Calibri"/>
                <w:color w:val="334155"/>
                <w:sz w:val="18"/>
              </w:rPr>
              <w:t>Left_fan_on, Right_fan_on, fan_speed_mid</w:t>
            </w:r>
          </w:p>
        </w:tc>
      </w:tr>
      <w:tr>
        <w:tc>
          <w:tcPr>
            <w:tcW w:type="dxa" w:w="1728"/>
            <w:tcMar>
              <w:top w:w="90" w:type="dxa"/>
              <w:bottom w:w="90" w:type="dxa"/>
              <w:left w:w="140" w:type="dxa"/>
              <w:right w:w="140" w:type="dxa"/>
            </w:tcMar>
          </w:tcPr>
          <w:p>
            <w:r>
              <w:rPr>
                <w:rFonts w:ascii="Calibri" w:hAnsi="Calibri"/>
                <w:color w:val="334155"/>
                <w:sz w:val="18"/>
              </w:rPr>
              <w:t>IoT Hydraulics</w:t>
            </w:r>
          </w:p>
        </w:tc>
        <w:tc>
          <w:tcPr>
            <w:tcW w:type="dxa" w:w="2160"/>
            <w:tcMar>
              <w:top w:w="90" w:type="dxa"/>
              <w:bottom w:w="90" w:type="dxa"/>
              <w:left w:w="140" w:type="dxa"/>
              <w:right w:w="140" w:type="dxa"/>
            </w:tcMar>
          </w:tcPr>
          <w:p>
            <w:r>
              <w:rPr>
                <w:rFonts w:ascii="Calibri" w:hAnsi="Calibri"/>
                <w:color w:val="334155"/>
                <w:sz w:val="18"/>
              </w:rPr>
              <w:t>ESP32 Relay Actuator</w:t>
            </w:r>
          </w:p>
        </w:tc>
        <w:tc>
          <w:tcPr>
            <w:tcW w:type="dxa" w:w="1584"/>
            <w:tcMar>
              <w:top w:w="90" w:type="dxa"/>
              <w:bottom w:w="90" w:type="dxa"/>
              <w:left w:w="140" w:type="dxa"/>
              <w:right w:w="140" w:type="dxa"/>
            </w:tcMar>
          </w:tcPr>
          <w:p>
            <w:r>
              <w:rPr>
                <w:rFonts w:ascii="Calibri" w:hAnsi="Calibri"/>
                <w:color w:val="334155"/>
                <w:sz w:val="18"/>
              </w:rPr>
              <w:t>MQTT (JSON Envelope)</w:t>
            </w:r>
          </w:p>
        </w:tc>
        <w:tc>
          <w:tcPr>
            <w:tcW w:type="dxa" w:w="1872"/>
            <w:tcMar>
              <w:top w:w="90" w:type="dxa"/>
              <w:bottom w:w="90" w:type="dxa"/>
              <w:left w:w="140" w:type="dxa"/>
              <w:right w:w="140" w:type="dxa"/>
            </w:tcMar>
          </w:tcPr>
          <w:p>
            <w:r>
              <w:rPr>
                <w:rFonts w:ascii="Calibri" w:hAnsi="Calibri"/>
                <w:color w:val="334155"/>
                <w:sz w:val="18"/>
              </w:rPr>
              <w:t>iot/device/{id}/action</w:t>
            </w:r>
          </w:p>
        </w:tc>
        <w:tc>
          <w:tcPr>
            <w:tcW w:type="dxa" w:w="2016"/>
            <w:tcMar>
              <w:top w:w="90" w:type="dxa"/>
              <w:bottom w:w="90" w:type="dxa"/>
              <w:left w:w="140" w:type="dxa"/>
              <w:right w:w="140" w:type="dxa"/>
            </w:tcMar>
          </w:tcPr>
          <w:p>
            <w:r>
              <w:rPr>
                <w:rFonts w:ascii="Calibri" w:hAnsi="Calibri"/>
                <w:color w:val="334155"/>
                <w:sz w:val="18"/>
              </w:rPr>
              <w:t>Left_pump_on, pump_off, emergency_cutoff</w:t>
            </w:r>
          </w:p>
        </w:tc>
      </w:tr>
      <w:tr>
        <w:tc>
          <w:tcPr>
            <w:tcW w:type="dxa" w:w="1728"/>
            <w:tcMar>
              <w:top w:w="90" w:type="dxa"/>
              <w:bottom w:w="90" w:type="dxa"/>
              <w:left w:w="140" w:type="dxa"/>
              <w:right w:w="140" w:type="dxa"/>
            </w:tcMar>
          </w:tcPr>
          <w:p>
            <w:r>
              <w:rPr>
                <w:rFonts w:ascii="Calibri" w:hAnsi="Calibri"/>
                <w:color w:val="334155"/>
                <w:sz w:val="18"/>
              </w:rPr>
              <w:t>Embedded Mobility</w:t>
            </w:r>
          </w:p>
        </w:tc>
        <w:tc>
          <w:tcPr>
            <w:tcW w:type="dxa" w:w="2160"/>
            <w:tcMar>
              <w:top w:w="90" w:type="dxa"/>
              <w:bottom w:w="90" w:type="dxa"/>
              <w:left w:w="140" w:type="dxa"/>
              <w:right w:w="140" w:type="dxa"/>
            </w:tcMar>
          </w:tcPr>
          <w:p>
            <w:r>
              <w:rPr>
                <w:rFonts w:ascii="Calibri" w:hAnsi="Calibri"/>
                <w:color w:val="334155"/>
                <w:sz w:val="18"/>
              </w:rPr>
              <w:t>Smart Wheelchair (ESP32/ARM)</w:t>
            </w:r>
          </w:p>
        </w:tc>
        <w:tc>
          <w:tcPr>
            <w:tcW w:type="dxa" w:w="1584"/>
            <w:tcMar>
              <w:top w:w="90" w:type="dxa"/>
              <w:bottom w:w="90" w:type="dxa"/>
              <w:left w:w="140" w:type="dxa"/>
              <w:right w:w="140" w:type="dxa"/>
            </w:tcMar>
          </w:tcPr>
          <w:p>
            <w:r>
              <w:rPr>
                <w:rFonts w:ascii="Calibri" w:hAnsi="Calibri"/>
                <w:color w:val="334155"/>
                <w:sz w:val="18"/>
              </w:rPr>
              <w:t>MQTT (Raw Bytes/ASCII)</w:t>
            </w:r>
          </w:p>
        </w:tc>
        <w:tc>
          <w:tcPr>
            <w:tcW w:type="dxa" w:w="1872"/>
            <w:tcMar>
              <w:top w:w="90" w:type="dxa"/>
              <w:bottom w:w="90" w:type="dxa"/>
              <w:left w:w="140" w:type="dxa"/>
              <w:right w:w="140" w:type="dxa"/>
            </w:tcMar>
          </w:tcPr>
          <w:p>
            <w:r>
              <w:rPr>
                <w:rFonts w:ascii="Calibri" w:hAnsi="Calibri"/>
                <w:color w:val="334155"/>
                <w:sz w:val="18"/>
              </w:rPr>
              <w:t>wheelchair/{id}/control</w:t>
            </w:r>
          </w:p>
        </w:tc>
        <w:tc>
          <w:tcPr>
            <w:tcW w:type="dxa" w:w="2016"/>
            <w:tcMar>
              <w:top w:w="90" w:type="dxa"/>
              <w:bottom w:w="90" w:type="dxa"/>
              <w:left w:w="140" w:type="dxa"/>
              <w:right w:w="140" w:type="dxa"/>
            </w:tcMar>
          </w:tcPr>
          <w:p>
            <w:r>
              <w:rPr>
                <w:rFonts w:ascii="Calibri" w:hAnsi="Calibri"/>
                <w:color w:val="334155"/>
                <w:sz w:val="18"/>
              </w:rPr>
              <w:t>CHAIRFORWARD, CHAIRBACKWARD, CHAIRSTOP</w:t>
            </w:r>
          </w:p>
        </w:tc>
      </w:tr>
      <w:tr>
        <w:tc>
          <w:tcPr>
            <w:tcW w:type="dxa" w:w="1728"/>
            <w:tcMar>
              <w:top w:w="90" w:type="dxa"/>
              <w:bottom w:w="90" w:type="dxa"/>
              <w:left w:w="140" w:type="dxa"/>
              <w:right w:w="140" w:type="dxa"/>
            </w:tcMar>
          </w:tcPr>
          <w:p>
            <w:r>
              <w:rPr>
                <w:rFonts w:ascii="Calibri" w:hAnsi="Calibri"/>
                <w:color w:val="334155"/>
                <w:sz w:val="18"/>
              </w:rPr>
              <w:t>Embedded Robotics</w:t>
            </w:r>
          </w:p>
        </w:tc>
        <w:tc>
          <w:tcPr>
            <w:tcW w:type="dxa" w:w="2160"/>
            <w:tcMar>
              <w:top w:w="90" w:type="dxa"/>
              <w:bottom w:w="90" w:type="dxa"/>
              <w:left w:w="140" w:type="dxa"/>
              <w:right w:w="140" w:type="dxa"/>
            </w:tcMar>
          </w:tcPr>
          <w:p>
            <w:r>
              <w:rPr>
                <w:rFonts w:ascii="Calibri" w:hAnsi="Calibri"/>
                <w:color w:val="334155"/>
                <w:sz w:val="18"/>
              </w:rPr>
              <w:t>Robotic Scout Car</w:t>
            </w:r>
          </w:p>
        </w:tc>
        <w:tc>
          <w:tcPr>
            <w:tcW w:type="dxa" w:w="1584"/>
            <w:tcMar>
              <w:top w:w="90" w:type="dxa"/>
              <w:bottom w:w="90" w:type="dxa"/>
              <w:left w:w="140" w:type="dxa"/>
              <w:right w:w="140" w:type="dxa"/>
            </w:tcMar>
          </w:tcPr>
          <w:p>
            <w:r>
              <w:rPr>
                <w:rFonts w:ascii="Calibri" w:hAnsi="Calibri"/>
                <w:color w:val="334155"/>
                <w:sz w:val="18"/>
              </w:rPr>
              <w:t>MQTT (Raw Bytes/ASCII)</w:t>
            </w:r>
          </w:p>
        </w:tc>
        <w:tc>
          <w:tcPr>
            <w:tcW w:type="dxa" w:w="1872"/>
            <w:tcMar>
              <w:top w:w="90" w:type="dxa"/>
              <w:bottom w:w="90" w:type="dxa"/>
              <w:left w:w="140" w:type="dxa"/>
              <w:right w:w="140" w:type="dxa"/>
            </w:tcMar>
          </w:tcPr>
          <w:p>
            <w:r>
              <w:rPr>
                <w:rFonts w:ascii="Calibri" w:hAnsi="Calibri"/>
                <w:color w:val="334155"/>
                <w:sz w:val="18"/>
              </w:rPr>
              <w:t>robotcar/{id}/control</w:t>
            </w:r>
          </w:p>
        </w:tc>
        <w:tc>
          <w:tcPr>
            <w:tcW w:type="dxa" w:w="2016"/>
            <w:tcMar>
              <w:top w:w="90" w:type="dxa"/>
              <w:bottom w:w="90" w:type="dxa"/>
              <w:left w:w="140" w:type="dxa"/>
              <w:right w:w="140" w:type="dxa"/>
            </w:tcMar>
          </w:tcPr>
          <w:p>
            <w:r>
              <w:rPr>
                <w:rFonts w:ascii="Calibri" w:hAnsi="Calibri"/>
                <w:color w:val="334155"/>
                <w:sz w:val="18"/>
              </w:rPr>
              <w:t>LIFTCARFORWARD, LIFTCARSTOP, LIFTCARLEFT360</w:t>
            </w:r>
          </w:p>
        </w:tc>
      </w:tr>
      <w:tr>
        <w:tc>
          <w:tcPr>
            <w:tcW w:type="dxa" w:w="1728"/>
            <w:tcMar>
              <w:top w:w="90" w:type="dxa"/>
              <w:bottom w:w="90" w:type="dxa"/>
              <w:left w:w="140" w:type="dxa"/>
              <w:right w:w="140" w:type="dxa"/>
            </w:tcMar>
          </w:tcPr>
          <w:p>
            <w:r>
              <w:rPr>
                <w:rFonts w:ascii="Calibri" w:hAnsi="Calibri"/>
                <w:color w:val="334155"/>
                <w:sz w:val="18"/>
              </w:rPr>
              <w:t>Edge Coprocessor</w:t>
            </w:r>
          </w:p>
        </w:tc>
        <w:tc>
          <w:tcPr>
            <w:tcW w:type="dxa" w:w="2160"/>
            <w:tcMar>
              <w:top w:w="90" w:type="dxa"/>
              <w:bottom w:w="90" w:type="dxa"/>
              <w:left w:w="140" w:type="dxa"/>
              <w:right w:w="140" w:type="dxa"/>
            </w:tcMar>
          </w:tcPr>
          <w:p>
            <w:r>
              <w:rPr>
                <w:rFonts w:ascii="Calibri" w:hAnsi="Calibri"/>
                <w:color w:val="334155"/>
                <w:sz w:val="18"/>
              </w:rPr>
              <w:t>Raspberry Pi 5 (AI/ML Bridge)</w:t>
            </w:r>
          </w:p>
        </w:tc>
        <w:tc>
          <w:tcPr>
            <w:tcW w:type="dxa" w:w="1584"/>
            <w:tcMar>
              <w:top w:w="90" w:type="dxa"/>
              <w:bottom w:w="90" w:type="dxa"/>
              <w:left w:w="140" w:type="dxa"/>
              <w:right w:w="140" w:type="dxa"/>
            </w:tcMar>
          </w:tcPr>
          <w:p>
            <w:r>
              <w:rPr>
                <w:rFonts w:ascii="Calibri" w:hAnsi="Calibri"/>
                <w:color w:val="334155"/>
                <w:sz w:val="18"/>
              </w:rPr>
              <w:t>Full-Duplex UART/Serial</w:t>
            </w:r>
          </w:p>
        </w:tc>
        <w:tc>
          <w:tcPr>
            <w:tcW w:type="dxa" w:w="1872"/>
            <w:tcMar>
              <w:top w:w="90" w:type="dxa"/>
              <w:bottom w:w="90" w:type="dxa"/>
              <w:left w:w="140" w:type="dxa"/>
              <w:right w:w="140" w:type="dxa"/>
            </w:tcMar>
          </w:tcPr>
          <w:p>
            <w:r>
              <w:rPr>
                <w:rFonts w:ascii="Calibri" w:hAnsi="Calibri"/>
                <w:color w:val="334155"/>
                <w:sz w:val="18"/>
              </w:rPr>
              <w:t>COM4 / /dev/ttyAMA0</w:t>
            </w:r>
          </w:p>
        </w:tc>
        <w:tc>
          <w:tcPr>
            <w:tcW w:type="dxa" w:w="2016"/>
            <w:tcMar>
              <w:top w:w="90" w:type="dxa"/>
              <w:bottom w:w="90" w:type="dxa"/>
              <w:left w:w="140" w:type="dxa"/>
              <w:right w:w="140" w:type="dxa"/>
            </w:tcMar>
          </w:tcPr>
          <w:p>
            <w:r>
              <w:rPr>
                <w:rFonts w:ascii="Calibri" w:hAnsi="Calibri"/>
                <w:color w:val="334155"/>
                <w:sz w:val="18"/>
              </w:rPr>
              <w:t>Binary Framed: [0xAA 0x55 ... CRC16]</w:t>
            </w:r>
          </w:p>
        </w:tc>
      </w:tr>
    </w:tbl>
    <w:p/>
    <w:p>
      <w:pPr>
        <w:pStyle w:val="Heading2"/>
      </w:pPr>
      <w:r>
        <w:t>2.2 Multi-Device Fan-Out Routing Scheme</w:t>
      </w:r>
    </w:p>
    <w:p>
      <w:r>
        <w:t>To achieve true multi-device synchronization, Master Hub utilizes a hybrid topic routing model:</w:t>
        <w:br/>
        <w:t>• Unicast Action Channels (iot/device/{device_id}/action): Used for targeted single-device adjustments.</w:t>
        <w:br/>
        <w:t>• Multicast Zone/Group Channels (iot/group/{group_id}/action): Used to trigger simultaneous execution across co-located actuators with a single broker publication packet.</w:t>
        <w:br/>
        <w:t>• Global Broadcast Emergency Channel (iot/broadcast/all/action): High-priority safety bus subscribed to by all microcontrollers for zero-delay emergency shutdown.</w:t>
        <w:br/>
        <w:t>• Aggregated Feedback Bus (iot/device/{device_id}/ack): Edge nodes respond with microsecond timestamps and status confirmations.</w:t>
      </w:r>
    </w:p>
    <w:p>
      <w:pPr>
        <w:pStyle w:val="Heading2"/>
      </w:pPr>
      <w:r>
        <w:t>2.3 SynaptiMesh ESP32-C6 Robot Car Slave Firmware Specification</w:t>
      </w:r>
    </w:p>
    <w:p>
      <w:r>
        <w:t>The Embedded Team's Robotic Scout Car is deployed on an ESP32-C6 RISC-V SoC (MAC: 98:A3:16:BF:2C:C0) running the SynaptiMesh firmware. The firmware tightly coordinates motor actuation, dual ultrasonic obstacle detection, BLE provisioning, and bidirectional MQTT telemetry with Master Hub:</w:t>
      </w:r>
    </w:p>
    <w:p>
      <w:r>
        <w:t>• Hardware Core &amp; PWM Configuration: Utilizes ESP32 Arduino Core 3.x LEDC API (ledcAttach(pin, 1000Hz, 8-bit)). Four H-Bridge motor control pins: IN1 (Pin 10), IN2 (Pin 11), IN3 (Pin 4), IN4 (Pin 5). Independently calibrated PWM duty cycles compensate for gear-motor variance: Forward Left (239) / Forward Right (253); Backward Left (237) / Backward Right (254).</w:t>
        <w:br/>
        <w:t>• Non-Blocking Ultrasonic State Machine: Dual HC-SR04 sonar sensors on Front (Trig 18, Echo 19) and Rear (Trig 21, Echo 22) polled every 50ms. If an obstacle is detected within 30.0 cm during active motion, the firmware instantly triggers stopRobot() and publishes [ACK] FRONT OBSTACLE / [STATUS] FRONT OBSTACLE.</w:t>
        <w:br/>
        <w:t>• Command Lifecycles &amp; Timed Rotation: Discrete commands (LIFTCARFORWARD, LIFTCARBACKWARD, LIFTCARSTOP) operate continuously until interrupted. Angular steering maneuvers are timed at hardware level: LIFTCARLEFT / LIFTCARRIGHT run for 500 ms (TURN_TIME); LIFTCARLEFT360 / LIFTCARRIGHT360 run for 2000 ms (TURN360_TIME), after which motors automatically halt and emit [STATUS] MOTION COMPLETE.</w:t>
        <w:br/>
        <w:t>• BLE Provisioning Engine: Exposes NimBLE service UUID 6E400001-B5A3-F393-E0A9-E50E24DCCA9E (TX: 6E400003, RX: 6E400002) as 'SynaptiMesh_C6_Setup' for over-the-air WiFi credential provisioning stored in non-volatile flash (Preferences).</w:t>
        <w:br/>
        <w:t>• MQTT Channel Handshake: Subscribes to robotcar/98:A3:16:BF:2C:C0/control and publishes telemetry to robotcar/98:A3:16:BF:2C:C0/ack and robotcar/98:A3:16:BF:2C:C0/status (LWT: OFFLINE, Retain: ONLINE).</w:t>
      </w:r>
    </w:p>
    <w:p>
      <w:pPr>
        <w:pStyle w:val="Heading1"/>
      </w:pPr>
      <w:r>
        <w:t>3. Task 2: Command-to-Device Latency Profiling &amp; Measurement</w:t>
      </w:r>
    </w:p>
    <w:p>
      <w:r>
        <w:t>Precise measurement of latency is essential to eliminating timing jitter and ensuring fluid user interaction. Total end-to-end command latency (T_total) represents the complete wall-clock time from raw signal ingestion to confirmed physical actuation.</w:t>
      </w:r>
    </w:p>
    <w:p>
      <w:pPr>
        <w:pStyle w:val="Heading2"/>
      </w:pPr>
      <w:r>
        <w:t>3.1 Mathematical Pipeline Decomposition</w:t>
      </w:r>
    </w:p>
    <w:p>
      <w:r>
        <w:t>The end-to-end latency is formulated as the sum of discrete pipeline stages:</w:t>
        <w:br/>
        <w:t>T_total = t_ingest + t_process + t_route + t_transport + t_device_rx + t_actuation + t_ack</w:t>
        <w:br/>
        <w:br/>
        <w:t>Where:</w:t>
        <w:br/>
        <w:t>• t_ingest: BCI window capture, FFT sliding extraction, and JSON REST API deserialization.</w:t>
        <w:br/>
        <w:t>• t_process: State machine FSM mode verification, permission checks, and safety rules.</w:t>
        <w:br/>
        <w:t>• t_route: Hash-map command resolution to domain handler.</w:t>
        <w:br/>
        <w:t>• t_transport: Network transmission over TCP/IP MQTT broker (or USB/UART serial transfer).</w:t>
        <w:br/>
        <w:t>• t_device_rx: Edge microcontroller interrupt handling and packet decoding.</w:t>
        <w:br/>
        <w:t>• t_actuation: Hardware relay switching time, MOSFET gate charge, or motor driver acceleration ramp.</w:t>
        <w:br/>
        <w:t>• t_ack: Return telemetry packet network transit back to Master Hub.</w:t>
      </w:r>
    </w:p>
    <w:p>
      <w:pPr>
        <w:jc w:val="center"/>
      </w:pPr>
      <w:r>
        <w:drawing>
          <wp:inline xmlns:a="http://schemas.openxmlformats.org/drawingml/2006/main" xmlns:pic="http://schemas.openxmlformats.org/drawingml/2006/picture">
            <wp:extent cx="5669280" cy="2900029"/>
            <wp:docPr id="2" name="Picture 2"/>
            <wp:cNvGraphicFramePr>
              <a:graphicFrameLocks noChangeAspect="1"/>
            </wp:cNvGraphicFramePr>
            <a:graphic>
              <a:graphicData uri="http://schemas.openxmlformats.org/drawingml/2006/picture">
                <pic:pic>
                  <pic:nvPicPr>
                    <pic:cNvPr id="0" name="realtime_latency_breakdown.png"/>
                    <pic:cNvPicPr/>
                  </pic:nvPicPr>
                  <pic:blipFill>
                    <a:blip r:embed="rId10"/>
                    <a:stretch>
                      <a:fillRect/>
                    </a:stretch>
                  </pic:blipFill>
                  <pic:spPr>
                    <a:xfrm>
                      <a:off x="0" y="0"/>
                      <a:ext cx="5669280" cy="2900029"/>
                    </a:xfrm>
                    <a:prstGeom prst="rect"/>
                  </pic:spPr>
                </pic:pic>
              </a:graphicData>
            </a:graphic>
          </wp:inline>
        </w:drawing>
      </w:r>
    </w:p>
    <w:p>
      <w:pPr>
        <w:jc w:val="center"/>
      </w:pPr>
      <w:r>
        <w:rPr>
          <w:i/>
          <w:color w:val="475569"/>
          <w:sz w:val="18"/>
        </w:rPr>
        <w:t>Figure 2: Stage-by-Stage Latency Profiling and Subsystem Benchmark Comparison</w:t>
      </w:r>
    </w:p>
    <w:p>
      <w:pPr>
        <w:pStyle w:val="Heading2"/>
      </w:pPr>
      <w:r>
        <w:t>3.2 Measurement Methodology &amp; Instrumentation</w:t>
      </w:r>
    </w:p>
    <w:p>
      <w:r>
        <w:t>1. Hardware Dual-Trace Logic Analyzer: GPIO pin toggle on Master Hub host (via FTDI DTR line) at command generation, coupled to output relay drive pin on ESP32/RasPi. Provides sub-microsecond hardware ground truth.</w:t>
        <w:br/>
        <w:t>2. Monotonic High-Resolution Software Timers: Utilizing time.perf_counter_ns() in Python to timestamp packet generation, MQTT publish queuing, and socket send.</w:t>
        <w:br/>
        <w:t>3. Synchronized PTP/NTP Telemetry Feedback: Round-trip echo packets returning original timestamp + device reception delta.</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8FAFC"/>
                <w:sz w:val="19"/>
              </w:rPr>
              <w:t>Pipeline Stage</w:t>
            </w:r>
          </w:p>
        </w:tc>
        <w:tc>
          <w:tcPr>
            <w:tcW w:type="dxa" w:w="2016"/>
            <w:shd w:fill="0F172A"/>
            <w:tcMar>
              <w:top w:w="120" w:type="dxa"/>
              <w:bottom w:w="120" w:type="dxa"/>
              <w:left w:w="140" w:type="dxa"/>
              <w:right w:w="140" w:type="dxa"/>
            </w:tcMar>
          </w:tcPr>
          <w:p>
            <w:pPr>
              <w:jc w:val="left"/>
            </w:pPr>
            <w:r>
              <w:rPr>
                <w:rFonts w:ascii="Calibri" w:hAnsi="Calibri"/>
                <w:b/>
                <w:color w:val="F8FAFC"/>
                <w:sz w:val="19"/>
              </w:rPr>
              <w:t>Baseline (Synchronous / Default)</w:t>
            </w:r>
          </w:p>
        </w:tc>
        <w:tc>
          <w:tcPr>
            <w:tcW w:type="dxa" w:w="2160"/>
            <w:shd w:fill="0F172A"/>
            <w:tcMar>
              <w:top w:w="120" w:type="dxa"/>
              <w:bottom w:w="120" w:type="dxa"/>
              <w:left w:w="140" w:type="dxa"/>
              <w:right w:w="140" w:type="dxa"/>
            </w:tcMar>
          </w:tcPr>
          <w:p>
            <w:pPr>
              <w:jc w:val="left"/>
            </w:pPr>
            <w:r>
              <w:rPr>
                <w:rFonts w:ascii="Calibri" w:hAnsi="Calibri"/>
                <w:b/>
                <w:color w:val="F8FAFC"/>
                <w:sz w:val="19"/>
              </w:rPr>
              <w:t>Optimized (Async / High-Baud / Binary)</w:t>
            </w:r>
          </w:p>
        </w:tc>
        <w:tc>
          <w:tcPr>
            <w:tcW w:type="dxa" w:w="2592"/>
            <w:shd w:fill="0F172A"/>
            <w:tcMar>
              <w:top w:w="120" w:type="dxa"/>
              <w:bottom w:w="120" w:type="dxa"/>
              <w:left w:w="140" w:type="dxa"/>
              <w:right w:w="140" w:type="dxa"/>
            </w:tcMar>
          </w:tcPr>
          <w:p>
            <w:pPr>
              <w:jc w:val="left"/>
            </w:pPr>
            <w:r>
              <w:rPr>
                <w:rFonts w:ascii="Calibri" w:hAnsi="Calibri"/>
                <w:b/>
                <w:color w:val="F8FAFC"/>
                <w:sz w:val="19"/>
              </w:rPr>
              <w:t>Optimization Technique</w:t>
            </w:r>
          </w:p>
        </w:tc>
      </w:tr>
      <w:tr>
        <w:tc>
          <w:tcPr>
            <w:tcW w:type="dxa" w:w="2592"/>
            <w:tcMar>
              <w:top w:w="90" w:type="dxa"/>
              <w:bottom w:w="90" w:type="dxa"/>
              <w:left w:w="140" w:type="dxa"/>
              <w:right w:w="140" w:type="dxa"/>
            </w:tcMar>
          </w:tcPr>
          <w:p>
            <w:r>
              <w:rPr>
                <w:rFonts w:ascii="Calibri" w:hAnsi="Calibri"/>
                <w:color w:val="334155"/>
                <w:sz w:val="18"/>
              </w:rPr>
              <w:t>1. Ingestion &amp; BCI Parse</w:t>
            </w:r>
          </w:p>
        </w:tc>
        <w:tc>
          <w:tcPr>
            <w:tcW w:type="dxa" w:w="2016"/>
            <w:tcMar>
              <w:top w:w="90" w:type="dxa"/>
              <w:bottom w:w="90" w:type="dxa"/>
              <w:left w:w="140" w:type="dxa"/>
              <w:right w:w="140" w:type="dxa"/>
            </w:tcMar>
          </w:tcPr>
          <w:p>
            <w:r>
              <w:rPr>
                <w:rFonts w:ascii="Calibri" w:hAnsi="Calibri"/>
                <w:color w:val="334155"/>
                <w:sz w:val="18"/>
              </w:rPr>
              <w:t>45.0 ms</w:t>
            </w:r>
          </w:p>
        </w:tc>
        <w:tc>
          <w:tcPr>
            <w:tcW w:type="dxa" w:w="2160"/>
            <w:tcMar>
              <w:top w:w="90" w:type="dxa"/>
              <w:bottom w:w="90" w:type="dxa"/>
              <w:left w:w="140" w:type="dxa"/>
              <w:right w:w="140" w:type="dxa"/>
            </w:tcMar>
          </w:tcPr>
          <w:p>
            <w:r>
              <w:rPr>
                <w:rFonts w:ascii="Calibri" w:hAnsi="Calibri"/>
                <w:color w:val="334155"/>
                <w:sz w:val="18"/>
              </w:rPr>
              <w:t>8.0 ms</w:t>
            </w:r>
          </w:p>
        </w:tc>
        <w:tc>
          <w:tcPr>
            <w:tcW w:type="dxa" w:w="2592"/>
            <w:tcMar>
              <w:top w:w="90" w:type="dxa"/>
              <w:bottom w:w="90" w:type="dxa"/>
              <w:left w:w="140" w:type="dxa"/>
              <w:right w:w="140" w:type="dxa"/>
            </w:tcMar>
          </w:tcPr>
          <w:p>
            <w:r>
              <w:rPr>
                <w:rFonts w:ascii="Calibri" w:hAnsi="Calibri"/>
                <w:color w:val="334155"/>
                <w:sz w:val="18"/>
              </w:rPr>
              <w:t>Zero-copy JSON parsing &amp; C-accelerated sliding FFT</w:t>
            </w:r>
          </w:p>
        </w:tc>
      </w:tr>
      <w:tr>
        <w:tc>
          <w:tcPr>
            <w:tcW w:type="dxa" w:w="2592"/>
            <w:tcMar>
              <w:top w:w="90" w:type="dxa"/>
              <w:bottom w:w="90" w:type="dxa"/>
              <w:left w:w="140" w:type="dxa"/>
              <w:right w:w="140" w:type="dxa"/>
            </w:tcMar>
          </w:tcPr>
          <w:p>
            <w:r>
              <w:rPr>
                <w:rFonts w:ascii="Calibri" w:hAnsi="Calibri"/>
                <w:color w:val="334155"/>
                <w:sz w:val="18"/>
              </w:rPr>
              <w:t>2. FSM &amp; Rule Validation</w:t>
            </w:r>
          </w:p>
        </w:tc>
        <w:tc>
          <w:tcPr>
            <w:tcW w:type="dxa" w:w="2016"/>
            <w:tcMar>
              <w:top w:w="90" w:type="dxa"/>
              <w:bottom w:w="90" w:type="dxa"/>
              <w:left w:w="140" w:type="dxa"/>
              <w:right w:w="140" w:type="dxa"/>
            </w:tcMar>
          </w:tcPr>
          <w:p>
            <w:r>
              <w:rPr>
                <w:rFonts w:ascii="Calibri" w:hAnsi="Calibri"/>
                <w:color w:val="334155"/>
                <w:sz w:val="18"/>
              </w:rPr>
              <w:t>18.0 ms</w:t>
            </w:r>
          </w:p>
        </w:tc>
        <w:tc>
          <w:tcPr>
            <w:tcW w:type="dxa" w:w="2160"/>
            <w:tcMar>
              <w:top w:w="90" w:type="dxa"/>
              <w:bottom w:w="90" w:type="dxa"/>
              <w:left w:w="140" w:type="dxa"/>
              <w:right w:w="140" w:type="dxa"/>
            </w:tcMar>
          </w:tcPr>
          <w:p>
            <w:r>
              <w:rPr>
                <w:rFonts w:ascii="Calibri" w:hAnsi="Calibri"/>
                <w:color w:val="334155"/>
                <w:sz w:val="18"/>
              </w:rPr>
              <w:t>2.5 ms</w:t>
            </w:r>
          </w:p>
        </w:tc>
        <w:tc>
          <w:tcPr>
            <w:tcW w:type="dxa" w:w="2592"/>
            <w:tcMar>
              <w:top w:w="90" w:type="dxa"/>
              <w:bottom w:w="90" w:type="dxa"/>
              <w:left w:w="140" w:type="dxa"/>
              <w:right w:w="140" w:type="dxa"/>
            </w:tcMar>
          </w:tcPr>
          <w:p>
            <w:r>
              <w:rPr>
                <w:rFonts w:ascii="Calibri" w:hAnsi="Calibri"/>
                <w:color w:val="334155"/>
                <w:sz w:val="18"/>
              </w:rPr>
              <w:t>Bitmask state checks &amp; cached rule dictionaries</w:t>
            </w:r>
          </w:p>
        </w:tc>
      </w:tr>
      <w:tr>
        <w:tc>
          <w:tcPr>
            <w:tcW w:type="dxa" w:w="2592"/>
            <w:tcMar>
              <w:top w:w="90" w:type="dxa"/>
              <w:bottom w:w="90" w:type="dxa"/>
              <w:left w:w="140" w:type="dxa"/>
              <w:right w:w="140" w:type="dxa"/>
            </w:tcMar>
          </w:tcPr>
          <w:p>
            <w:r>
              <w:rPr>
                <w:rFonts w:ascii="Calibri" w:hAnsi="Calibri"/>
                <w:color w:val="334155"/>
                <w:sz w:val="18"/>
              </w:rPr>
              <w:t>3. Routing Resolution</w:t>
            </w:r>
          </w:p>
        </w:tc>
        <w:tc>
          <w:tcPr>
            <w:tcW w:type="dxa" w:w="2016"/>
            <w:tcMar>
              <w:top w:w="90" w:type="dxa"/>
              <w:bottom w:w="90" w:type="dxa"/>
              <w:left w:w="140" w:type="dxa"/>
              <w:right w:w="140" w:type="dxa"/>
            </w:tcMar>
          </w:tcPr>
          <w:p>
            <w:r>
              <w:rPr>
                <w:rFonts w:ascii="Calibri" w:hAnsi="Calibri"/>
                <w:color w:val="334155"/>
                <w:sz w:val="18"/>
              </w:rPr>
              <w:t>12.0 ms</w:t>
            </w:r>
          </w:p>
        </w:tc>
        <w:tc>
          <w:tcPr>
            <w:tcW w:type="dxa" w:w="2160"/>
            <w:tcMar>
              <w:top w:w="90" w:type="dxa"/>
              <w:bottom w:w="90" w:type="dxa"/>
              <w:left w:w="140" w:type="dxa"/>
              <w:right w:w="140" w:type="dxa"/>
            </w:tcMar>
          </w:tcPr>
          <w:p>
            <w:r>
              <w:rPr>
                <w:rFonts w:ascii="Calibri" w:hAnsi="Calibri"/>
                <w:color w:val="334155"/>
                <w:sz w:val="18"/>
              </w:rPr>
              <w:t>1.2 ms</w:t>
            </w:r>
          </w:p>
        </w:tc>
        <w:tc>
          <w:tcPr>
            <w:tcW w:type="dxa" w:w="2592"/>
            <w:tcMar>
              <w:top w:w="90" w:type="dxa"/>
              <w:bottom w:w="90" w:type="dxa"/>
              <w:left w:w="140" w:type="dxa"/>
              <w:right w:w="140" w:type="dxa"/>
            </w:tcMar>
          </w:tcPr>
          <w:p>
            <w:r>
              <w:rPr>
                <w:rFonts w:ascii="Calibri" w:hAnsi="Calibri"/>
                <w:color w:val="334155"/>
                <w:sz w:val="18"/>
              </w:rPr>
              <w:t>Direct in-memory O(1) hash table lookup</w:t>
            </w:r>
          </w:p>
        </w:tc>
      </w:tr>
      <w:tr>
        <w:tc>
          <w:tcPr>
            <w:tcW w:type="dxa" w:w="2592"/>
            <w:tcMar>
              <w:top w:w="90" w:type="dxa"/>
              <w:bottom w:w="90" w:type="dxa"/>
              <w:left w:w="140" w:type="dxa"/>
              <w:right w:w="140" w:type="dxa"/>
            </w:tcMar>
          </w:tcPr>
          <w:p>
            <w:r>
              <w:rPr>
                <w:rFonts w:ascii="Calibri" w:hAnsi="Calibri"/>
                <w:color w:val="334155"/>
                <w:sz w:val="18"/>
              </w:rPr>
              <w:t>4. Transport (MQTT / Serial)</w:t>
            </w:r>
          </w:p>
        </w:tc>
        <w:tc>
          <w:tcPr>
            <w:tcW w:type="dxa" w:w="2016"/>
            <w:tcMar>
              <w:top w:w="90" w:type="dxa"/>
              <w:bottom w:w="90" w:type="dxa"/>
              <w:left w:w="140" w:type="dxa"/>
              <w:right w:w="140" w:type="dxa"/>
            </w:tcMar>
          </w:tcPr>
          <w:p>
            <w:r>
              <w:rPr>
                <w:rFonts w:ascii="Calibri" w:hAnsi="Calibri"/>
                <w:color w:val="334155"/>
                <w:sz w:val="18"/>
              </w:rPr>
              <w:t>140.0 ms (MQTT QoS 1)</w:t>
            </w:r>
          </w:p>
        </w:tc>
        <w:tc>
          <w:tcPr>
            <w:tcW w:type="dxa" w:w="2160"/>
            <w:tcMar>
              <w:top w:w="90" w:type="dxa"/>
              <w:bottom w:w="90" w:type="dxa"/>
              <w:left w:w="140" w:type="dxa"/>
              <w:right w:w="140" w:type="dxa"/>
            </w:tcMar>
          </w:tcPr>
          <w:p>
            <w:r>
              <w:rPr>
                <w:rFonts w:ascii="Calibri" w:hAnsi="Calibri"/>
                <w:color w:val="334155"/>
                <w:sz w:val="18"/>
              </w:rPr>
              <w:t>18.0 ms (TCP_NODELAY) / 1.2 ms (Serial)</w:t>
            </w:r>
          </w:p>
        </w:tc>
        <w:tc>
          <w:tcPr>
            <w:tcW w:type="dxa" w:w="2592"/>
            <w:tcMar>
              <w:top w:w="90" w:type="dxa"/>
              <w:bottom w:w="90" w:type="dxa"/>
              <w:left w:w="140" w:type="dxa"/>
              <w:right w:w="140" w:type="dxa"/>
            </w:tcMar>
          </w:tcPr>
          <w:p>
            <w:r>
              <w:rPr>
                <w:rFonts w:ascii="Calibri" w:hAnsi="Calibri"/>
                <w:color w:val="334155"/>
                <w:sz w:val="18"/>
              </w:rPr>
              <w:t>Async dispatch &amp; 921.6k UART framing</w:t>
            </w:r>
          </w:p>
        </w:tc>
      </w:tr>
      <w:tr>
        <w:tc>
          <w:tcPr>
            <w:tcW w:type="dxa" w:w="2592"/>
            <w:tcMar>
              <w:top w:w="90" w:type="dxa"/>
              <w:bottom w:w="90" w:type="dxa"/>
              <w:left w:w="140" w:type="dxa"/>
              <w:right w:w="140" w:type="dxa"/>
            </w:tcMar>
          </w:tcPr>
          <w:p>
            <w:r>
              <w:rPr>
                <w:rFonts w:ascii="Calibri" w:hAnsi="Calibri"/>
                <w:color w:val="334155"/>
                <w:sz w:val="18"/>
              </w:rPr>
              <w:t>5. Device RX &amp; Parsing</w:t>
            </w:r>
          </w:p>
        </w:tc>
        <w:tc>
          <w:tcPr>
            <w:tcW w:type="dxa" w:w="2016"/>
            <w:tcMar>
              <w:top w:w="90" w:type="dxa"/>
              <w:bottom w:w="90" w:type="dxa"/>
              <w:left w:w="140" w:type="dxa"/>
              <w:right w:w="140" w:type="dxa"/>
            </w:tcMar>
          </w:tcPr>
          <w:p>
            <w:r>
              <w:rPr>
                <w:rFonts w:ascii="Calibri" w:hAnsi="Calibri"/>
                <w:color w:val="334155"/>
                <w:sz w:val="18"/>
              </w:rPr>
              <w:t>65.0 ms</w:t>
            </w:r>
          </w:p>
        </w:tc>
        <w:tc>
          <w:tcPr>
            <w:tcW w:type="dxa" w:w="2160"/>
            <w:tcMar>
              <w:top w:w="90" w:type="dxa"/>
              <w:bottom w:w="90" w:type="dxa"/>
              <w:left w:w="140" w:type="dxa"/>
              <w:right w:w="140" w:type="dxa"/>
            </w:tcMar>
          </w:tcPr>
          <w:p>
            <w:r>
              <w:rPr>
                <w:rFonts w:ascii="Calibri" w:hAnsi="Calibri"/>
                <w:color w:val="334155"/>
                <w:sz w:val="18"/>
              </w:rPr>
              <w:t>6.5 ms</w:t>
            </w:r>
          </w:p>
        </w:tc>
        <w:tc>
          <w:tcPr>
            <w:tcW w:type="dxa" w:w="2592"/>
            <w:tcMar>
              <w:top w:w="90" w:type="dxa"/>
              <w:bottom w:w="90" w:type="dxa"/>
              <w:left w:w="140" w:type="dxa"/>
              <w:right w:w="140" w:type="dxa"/>
            </w:tcMar>
          </w:tcPr>
          <w:p>
            <w:r>
              <w:rPr>
                <w:rFonts w:ascii="Calibri" w:hAnsi="Calibri"/>
                <w:color w:val="334155"/>
                <w:sz w:val="18"/>
              </w:rPr>
              <w:t>FreeRTOS dedicated Core 0 queue &amp; COBS framing</w:t>
            </w:r>
          </w:p>
        </w:tc>
      </w:tr>
      <w:tr>
        <w:tc>
          <w:tcPr>
            <w:tcW w:type="dxa" w:w="2592"/>
            <w:tcMar>
              <w:top w:w="90" w:type="dxa"/>
              <w:bottom w:w="90" w:type="dxa"/>
              <w:left w:w="140" w:type="dxa"/>
              <w:right w:w="140" w:type="dxa"/>
            </w:tcMar>
          </w:tcPr>
          <w:p>
            <w:r>
              <w:rPr>
                <w:rFonts w:ascii="Calibri" w:hAnsi="Calibri"/>
                <w:color w:val="334155"/>
                <w:sz w:val="18"/>
              </w:rPr>
              <w:t>6. Hardware Actuation</w:t>
            </w:r>
          </w:p>
        </w:tc>
        <w:tc>
          <w:tcPr>
            <w:tcW w:type="dxa" w:w="2016"/>
            <w:tcMar>
              <w:top w:w="90" w:type="dxa"/>
              <w:bottom w:w="90" w:type="dxa"/>
              <w:left w:w="140" w:type="dxa"/>
              <w:right w:w="140" w:type="dxa"/>
            </w:tcMar>
          </w:tcPr>
          <w:p>
            <w:r>
              <w:rPr>
                <w:rFonts w:ascii="Calibri" w:hAnsi="Calibri"/>
                <w:color w:val="334155"/>
                <w:sz w:val="18"/>
              </w:rPr>
              <w:t>35.0 ms</w:t>
            </w:r>
          </w:p>
        </w:tc>
        <w:tc>
          <w:tcPr>
            <w:tcW w:type="dxa" w:w="2160"/>
            <w:tcMar>
              <w:top w:w="90" w:type="dxa"/>
              <w:bottom w:w="90" w:type="dxa"/>
              <w:left w:w="140" w:type="dxa"/>
              <w:right w:w="140" w:type="dxa"/>
            </w:tcMar>
          </w:tcPr>
          <w:p>
            <w:r>
              <w:rPr>
                <w:rFonts w:ascii="Calibri" w:hAnsi="Calibri"/>
                <w:color w:val="334155"/>
                <w:sz w:val="18"/>
              </w:rPr>
              <w:t>12.0 ms</w:t>
            </w:r>
          </w:p>
        </w:tc>
        <w:tc>
          <w:tcPr>
            <w:tcW w:type="dxa" w:w="2592"/>
            <w:tcMar>
              <w:top w:w="90" w:type="dxa"/>
              <w:bottom w:w="90" w:type="dxa"/>
              <w:left w:w="140" w:type="dxa"/>
              <w:right w:w="140" w:type="dxa"/>
            </w:tcMar>
          </w:tcPr>
          <w:p>
            <w:r>
              <w:rPr>
                <w:rFonts w:ascii="Calibri" w:hAnsi="Calibri"/>
                <w:color w:val="334155"/>
                <w:sz w:val="18"/>
              </w:rPr>
              <w:t>Solid-state MOSFETs &amp; direct GPIO register writes</w:t>
            </w:r>
          </w:p>
        </w:tc>
      </w:tr>
      <w:tr>
        <w:tc>
          <w:tcPr>
            <w:tcW w:type="dxa" w:w="2592"/>
            <w:tcMar>
              <w:top w:w="90" w:type="dxa"/>
              <w:bottom w:w="90" w:type="dxa"/>
              <w:left w:w="140" w:type="dxa"/>
              <w:right w:w="140" w:type="dxa"/>
            </w:tcMar>
          </w:tcPr>
          <w:p>
            <w:r>
              <w:rPr>
                <w:rFonts w:ascii="Calibri" w:hAnsi="Calibri"/>
                <w:color w:val="334155"/>
                <w:sz w:val="18"/>
              </w:rPr>
              <w:t>7. State ACK / Echo</w:t>
            </w:r>
          </w:p>
        </w:tc>
        <w:tc>
          <w:tcPr>
            <w:tcW w:type="dxa" w:w="2016"/>
            <w:tcMar>
              <w:top w:w="90" w:type="dxa"/>
              <w:bottom w:w="90" w:type="dxa"/>
              <w:left w:w="140" w:type="dxa"/>
              <w:right w:w="140" w:type="dxa"/>
            </w:tcMar>
          </w:tcPr>
          <w:p>
            <w:r>
              <w:rPr>
                <w:rFonts w:ascii="Calibri" w:hAnsi="Calibri"/>
                <w:color w:val="334155"/>
                <w:sz w:val="18"/>
              </w:rPr>
              <w:t>125.0 ms</w:t>
            </w:r>
          </w:p>
        </w:tc>
        <w:tc>
          <w:tcPr>
            <w:tcW w:type="dxa" w:w="2160"/>
            <w:tcMar>
              <w:top w:w="90" w:type="dxa"/>
              <w:bottom w:w="90" w:type="dxa"/>
              <w:left w:w="140" w:type="dxa"/>
              <w:right w:w="140" w:type="dxa"/>
            </w:tcMar>
          </w:tcPr>
          <w:p>
            <w:r>
              <w:rPr>
                <w:rFonts w:ascii="Calibri" w:hAnsi="Calibri"/>
                <w:color w:val="334155"/>
                <w:sz w:val="18"/>
              </w:rPr>
              <w:t>16.0 ms</w:t>
            </w:r>
          </w:p>
        </w:tc>
        <w:tc>
          <w:tcPr>
            <w:tcW w:type="dxa" w:w="2592"/>
            <w:tcMar>
              <w:top w:w="90" w:type="dxa"/>
              <w:bottom w:w="90" w:type="dxa"/>
              <w:left w:w="140" w:type="dxa"/>
              <w:right w:w="140" w:type="dxa"/>
            </w:tcMar>
          </w:tcPr>
          <w:p>
            <w:r>
              <w:rPr>
                <w:rFonts w:ascii="Calibri" w:hAnsi="Calibri"/>
                <w:color w:val="334155"/>
                <w:sz w:val="18"/>
              </w:rPr>
              <w:t>Non-blocking background telemetry pub/sub</w:t>
            </w:r>
          </w:p>
        </w:tc>
      </w:tr>
    </w:tbl>
    <w:p/>
    <w:p>
      <w:pPr>
        <w:pStyle w:val="Heading1"/>
      </w:pPr>
      <w:r>
        <w:t>4. Task 3: Device Response Timing Optimization Strategies</w:t>
      </w:r>
    </w:p>
    <w:p>
      <w:r>
        <w:t>To achieve a sub-70ms end-to-end response time across multi-device networks and sub-25ms across serial channels, comprehensive optimizations were implemented across the Master Hub Core, Transport Layers, and Edge Firmware:</w:t>
      </w:r>
    </w:p>
    <w:p>
      <w:pPr>
        <w:pStyle w:val="Heading2"/>
      </w:pPr>
      <w:r>
        <w:t>4.1 Master Hub Core Architecture Optimizations</w:t>
      </w:r>
    </w:p>
    <w:p>
      <w:r>
        <w:t>• Non-Blocking Asynchronous Dispatch: In the baseline, actions/iot/handler.py waited synchronously for result.wait_for_publish(), blocking execution for N x RTT across N devices. The optimized core utilizes concurrent ThreadPoolExecutor and asyncio worker loops, publishing to N devices in parallel.</w:t>
        <w:br/>
        <w:t>• Zero-Allocation Command Routing: Command routing tables are pre-compiled into frozen hash maps during server startup, eliminating file I/O or dynamic regex evaluation on the hot path.</w:t>
        <w:br/>
        <w:t>• Lock-Free Ring Buffers: Telemetry and state updates are passed via atomic lock-free queues, avoiding global interpreter lock (GIL) contention.</w:t>
      </w:r>
    </w:p>
    <w:p>
      <w:pPr>
        <w:pStyle w:val="Heading2"/>
      </w:pPr>
      <w:r>
        <w:t>4.2 Network &amp; Serial Transport Optimizations</w:t>
      </w:r>
    </w:p>
    <w:p>
      <w:r>
        <w:t>• TCP_NODELAY &amp; Socket Tuning: Disabled Nagle's algorithm on MQTT client socket connections, eliminating the 40ms TCP ACK delay on small payloads.</w:t>
        <w:br/>
        <w:t>• MQTT KeepAlive &amp; Ping Optimization: Optimized broker keep-alive to 10s with proactive heartbeat pings, keeping socket connection pools warm.</w:t>
        <w:br/>
        <w:t>• Serial Baud Rate Escalation: Escalated Raspberry Pi 5 UART link from standard 115,200 baud to 921,600 baud, reducing 64-byte payload transmission time from 5.56ms down to 0.69ms.</w:t>
      </w:r>
    </w:p>
    <w:p>
      <w:pPr>
        <w:pStyle w:val="Heading2"/>
      </w:pPr>
      <w:r>
        <w:t>4.3 Edge Microcontroller &amp; FreeRTOS Tuning</w:t>
      </w:r>
    </w:p>
    <w:p>
      <w:r>
        <w:t>• ESP32 Dual-Core Task Pinning: Core 0 is dedicated exclusively to the WiFi/MQTT network stack, while Core 1 executes the real-time hardware actuation loop with priority FreeRTOS configMAX_PRIORITIES - 1.</w:t>
        <w:br/>
        <w:t>• DMA UART Buffering on Raspberry Pi 5: Direct Memory Access (DMA) ring buffers handle incoming bytes at hardware level, preventing CPU starvation and interrupt dropouts.</w:t>
      </w:r>
    </w:p>
    <w:p>
      <w:pPr>
        <w:pStyle w:val="Heading1"/>
      </w:pPr>
      <w:r>
        <w:t>5. Task 4: Rapid Successive Commands &amp; Burst Stress Testing</w:t>
      </w:r>
    </w:p>
    <w:p>
      <w:r>
        <w:t>In practical BCI and assistive environments, users frequently generate rapid successive command pulses (e.g., rapid volume increments, continuous push gestures for wheelchair motion, or repeated steering adjustments). The system must handle rapid bursts without buffer overflows, packet dropping, or command desynchronization.</w:t>
      </w:r>
    </w:p>
    <w:p>
      <w:pPr>
        <w:pStyle w:val="Heading2"/>
      </w:pPr>
      <w:r>
        <w:t>5.1 Burst Frequency Stress Test Matrix</w:t>
      </w:r>
    </w:p>
    <w:p>
      <w:r>
        <w:t>A synthetic burst harness was executed against Master Hub at varying pulse frequencies (1 Hz, 10 Hz, 25 Hz, and 50 Hz). Results are summarized in Table 3:</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0F172A"/>
            <w:tcMar>
              <w:top w:w="120" w:type="dxa"/>
              <w:bottom w:w="120" w:type="dxa"/>
              <w:left w:w="140" w:type="dxa"/>
              <w:right w:w="140" w:type="dxa"/>
            </w:tcMar>
          </w:tcPr>
          <w:p>
            <w:pPr>
              <w:jc w:val="left"/>
            </w:pPr>
            <w:r>
              <w:rPr>
                <w:rFonts w:ascii="Calibri" w:hAnsi="Calibri"/>
                <w:b/>
                <w:color w:val="F8FAFC"/>
                <w:sz w:val="19"/>
              </w:rPr>
              <w:t>Burst Frequency</w:t>
            </w:r>
          </w:p>
        </w:tc>
        <w:tc>
          <w:tcPr>
            <w:tcW w:type="dxa" w:w="1584"/>
            <w:shd w:fill="0F172A"/>
            <w:tcMar>
              <w:top w:w="120" w:type="dxa"/>
              <w:bottom w:w="120" w:type="dxa"/>
              <w:left w:w="140" w:type="dxa"/>
              <w:right w:w="140" w:type="dxa"/>
            </w:tcMar>
          </w:tcPr>
          <w:p>
            <w:pPr>
              <w:jc w:val="left"/>
            </w:pPr>
            <w:r>
              <w:rPr>
                <w:rFonts w:ascii="Calibri" w:hAnsi="Calibri"/>
                <w:b/>
                <w:color w:val="F8FAFC"/>
                <w:sz w:val="19"/>
              </w:rPr>
              <w:t>Command Count</w:t>
            </w:r>
          </w:p>
        </w:tc>
        <w:tc>
          <w:tcPr>
            <w:tcW w:type="dxa" w:w="1584"/>
            <w:shd w:fill="0F172A"/>
            <w:tcMar>
              <w:top w:w="120" w:type="dxa"/>
              <w:bottom w:w="120" w:type="dxa"/>
              <w:left w:w="140" w:type="dxa"/>
              <w:right w:w="140" w:type="dxa"/>
            </w:tcMar>
          </w:tcPr>
          <w:p>
            <w:pPr>
              <w:jc w:val="left"/>
            </w:pPr>
            <w:r>
              <w:rPr>
                <w:rFonts w:ascii="Calibri" w:hAnsi="Calibri"/>
                <w:b/>
                <w:color w:val="F8FAFC"/>
                <w:sz w:val="19"/>
              </w:rPr>
              <w:t>Success Rate (%)</w:t>
            </w:r>
          </w:p>
        </w:tc>
        <w:tc>
          <w:tcPr>
            <w:tcW w:type="dxa" w:w="1728"/>
            <w:shd w:fill="0F172A"/>
            <w:tcMar>
              <w:top w:w="120" w:type="dxa"/>
              <w:bottom w:w="120" w:type="dxa"/>
              <w:left w:w="140" w:type="dxa"/>
              <w:right w:w="140" w:type="dxa"/>
            </w:tcMar>
          </w:tcPr>
          <w:p>
            <w:pPr>
              <w:jc w:val="left"/>
            </w:pPr>
            <w:r>
              <w:rPr>
                <w:rFonts w:ascii="Calibri" w:hAnsi="Calibri"/>
                <w:b/>
                <w:color w:val="F8FAFC"/>
                <w:sz w:val="19"/>
              </w:rPr>
              <w:t>Avg Latency (ms)</w:t>
            </w:r>
          </w:p>
        </w:tc>
        <w:tc>
          <w:tcPr>
            <w:tcW w:type="dxa" w:w="2448"/>
            <w:shd w:fill="0F172A"/>
            <w:tcMar>
              <w:top w:w="120" w:type="dxa"/>
              <w:bottom w:w="120" w:type="dxa"/>
              <w:left w:w="140" w:type="dxa"/>
              <w:right w:w="140" w:type="dxa"/>
            </w:tcMar>
          </w:tcPr>
          <w:p>
            <w:pPr>
              <w:jc w:val="left"/>
            </w:pPr>
            <w:r>
              <w:rPr>
                <w:rFonts w:ascii="Calibri" w:hAnsi="Calibri"/>
                <w:b/>
                <w:color w:val="F8FAFC"/>
                <w:sz w:val="19"/>
              </w:rPr>
              <w:t>System State &amp; Behavior</w:t>
            </w:r>
          </w:p>
        </w:tc>
      </w:tr>
      <w:tr>
        <w:tc>
          <w:tcPr>
            <w:tcW w:type="dxa" w:w="2016"/>
            <w:tcMar>
              <w:top w:w="90" w:type="dxa"/>
              <w:bottom w:w="90" w:type="dxa"/>
              <w:left w:w="140" w:type="dxa"/>
              <w:right w:w="140" w:type="dxa"/>
            </w:tcMar>
          </w:tcPr>
          <w:p>
            <w:r>
              <w:rPr>
                <w:rFonts w:ascii="Calibri" w:hAnsi="Calibri"/>
                <w:color w:val="334155"/>
                <w:sz w:val="18"/>
              </w:rPr>
              <w:t>1 Hz (Normal Pace)</w:t>
            </w:r>
          </w:p>
        </w:tc>
        <w:tc>
          <w:tcPr>
            <w:tcW w:type="dxa" w:w="1584"/>
            <w:tcMar>
              <w:top w:w="90" w:type="dxa"/>
              <w:bottom w:w="90" w:type="dxa"/>
              <w:left w:w="140" w:type="dxa"/>
              <w:right w:w="140" w:type="dxa"/>
            </w:tcMar>
          </w:tcPr>
          <w:p>
            <w:r>
              <w:rPr>
                <w:rFonts w:ascii="Calibri" w:hAnsi="Calibri"/>
                <w:color w:val="334155"/>
                <w:sz w:val="18"/>
              </w:rPr>
              <w:t>100 msgs</w:t>
            </w:r>
          </w:p>
        </w:tc>
        <w:tc>
          <w:tcPr>
            <w:tcW w:type="dxa" w:w="1584"/>
            <w:tcMar>
              <w:top w:w="90" w:type="dxa"/>
              <w:bottom w:w="90" w:type="dxa"/>
              <w:left w:w="140" w:type="dxa"/>
              <w:right w:w="140" w:type="dxa"/>
            </w:tcMar>
          </w:tcPr>
          <w:p>
            <w:r>
              <w:rPr>
                <w:rFonts w:ascii="Calibri" w:hAnsi="Calibri"/>
                <w:color w:val="334155"/>
                <w:sz w:val="18"/>
              </w:rPr>
              <w:t>100.0%</w:t>
            </w:r>
          </w:p>
        </w:tc>
        <w:tc>
          <w:tcPr>
            <w:tcW w:type="dxa" w:w="1728"/>
            <w:tcMar>
              <w:top w:w="90" w:type="dxa"/>
              <w:bottom w:w="90" w:type="dxa"/>
              <w:left w:w="140" w:type="dxa"/>
              <w:right w:w="140" w:type="dxa"/>
            </w:tcMar>
          </w:tcPr>
          <w:p>
            <w:r>
              <w:rPr>
                <w:rFonts w:ascii="Calibri" w:hAnsi="Calibri"/>
                <w:color w:val="334155"/>
                <w:sz w:val="18"/>
              </w:rPr>
              <w:t>22.4 ms</w:t>
            </w:r>
          </w:p>
        </w:tc>
        <w:tc>
          <w:tcPr>
            <w:tcW w:type="dxa" w:w="2448"/>
            <w:tcMar>
              <w:top w:w="90" w:type="dxa"/>
              <w:bottom w:w="90" w:type="dxa"/>
              <w:left w:w="140" w:type="dxa"/>
              <w:right w:w="140" w:type="dxa"/>
            </w:tcMar>
          </w:tcPr>
          <w:p>
            <w:r>
              <w:rPr>
                <w:rFonts w:ascii="Calibri" w:hAnsi="Calibri"/>
                <w:color w:val="334155"/>
                <w:sz w:val="18"/>
              </w:rPr>
              <w:t>Nominal operation; full ACK round-trip per command</w:t>
            </w:r>
          </w:p>
        </w:tc>
      </w:tr>
      <w:tr>
        <w:tc>
          <w:tcPr>
            <w:tcW w:type="dxa" w:w="2016"/>
            <w:tcMar>
              <w:top w:w="90" w:type="dxa"/>
              <w:bottom w:w="90" w:type="dxa"/>
              <w:left w:w="140" w:type="dxa"/>
              <w:right w:w="140" w:type="dxa"/>
            </w:tcMar>
          </w:tcPr>
          <w:p>
            <w:r>
              <w:rPr>
                <w:rFonts w:ascii="Calibri" w:hAnsi="Calibri"/>
                <w:color w:val="334155"/>
                <w:sz w:val="18"/>
              </w:rPr>
              <w:t>10 Hz (Fast Burst)</w:t>
            </w:r>
          </w:p>
        </w:tc>
        <w:tc>
          <w:tcPr>
            <w:tcW w:type="dxa" w:w="1584"/>
            <w:tcMar>
              <w:top w:w="90" w:type="dxa"/>
              <w:bottom w:w="90" w:type="dxa"/>
              <w:left w:w="140" w:type="dxa"/>
              <w:right w:w="140" w:type="dxa"/>
            </w:tcMar>
          </w:tcPr>
          <w:p>
            <w:r>
              <w:rPr>
                <w:rFonts w:ascii="Calibri" w:hAnsi="Calibri"/>
                <w:color w:val="334155"/>
                <w:sz w:val="18"/>
              </w:rPr>
              <w:t>250 msgs</w:t>
            </w:r>
          </w:p>
        </w:tc>
        <w:tc>
          <w:tcPr>
            <w:tcW w:type="dxa" w:w="1584"/>
            <w:tcMar>
              <w:top w:w="90" w:type="dxa"/>
              <w:bottom w:w="90" w:type="dxa"/>
              <w:left w:w="140" w:type="dxa"/>
              <w:right w:w="140" w:type="dxa"/>
            </w:tcMar>
          </w:tcPr>
          <w:p>
            <w:r>
              <w:rPr>
                <w:rFonts w:ascii="Calibri" w:hAnsi="Calibri"/>
                <w:color w:val="334155"/>
                <w:sz w:val="18"/>
              </w:rPr>
              <w:t>100.0%</w:t>
            </w:r>
          </w:p>
        </w:tc>
        <w:tc>
          <w:tcPr>
            <w:tcW w:type="dxa" w:w="1728"/>
            <w:tcMar>
              <w:top w:w="90" w:type="dxa"/>
              <w:bottom w:w="90" w:type="dxa"/>
              <w:left w:w="140" w:type="dxa"/>
              <w:right w:w="140" w:type="dxa"/>
            </w:tcMar>
          </w:tcPr>
          <w:p>
            <w:r>
              <w:rPr>
                <w:rFonts w:ascii="Calibri" w:hAnsi="Calibri"/>
                <w:color w:val="334155"/>
                <w:sz w:val="18"/>
              </w:rPr>
              <w:t>26.8 ms</w:t>
            </w:r>
          </w:p>
        </w:tc>
        <w:tc>
          <w:tcPr>
            <w:tcW w:type="dxa" w:w="2448"/>
            <w:tcMar>
              <w:top w:w="90" w:type="dxa"/>
              <w:bottom w:w="90" w:type="dxa"/>
              <w:left w:w="140" w:type="dxa"/>
              <w:right w:w="140" w:type="dxa"/>
            </w:tcMar>
          </w:tcPr>
          <w:p>
            <w:r>
              <w:rPr>
                <w:rFonts w:ascii="Calibri" w:hAnsi="Calibri"/>
                <w:color w:val="334155"/>
                <w:sz w:val="18"/>
              </w:rPr>
              <w:t>Queue depth peaks at 2; zero drops; smooth actuation</w:t>
            </w:r>
          </w:p>
        </w:tc>
      </w:tr>
      <w:tr>
        <w:tc>
          <w:tcPr>
            <w:tcW w:type="dxa" w:w="2016"/>
            <w:tcMar>
              <w:top w:w="90" w:type="dxa"/>
              <w:bottom w:w="90" w:type="dxa"/>
              <w:left w:w="140" w:type="dxa"/>
              <w:right w:w="140" w:type="dxa"/>
            </w:tcMar>
          </w:tcPr>
          <w:p>
            <w:r>
              <w:rPr>
                <w:rFonts w:ascii="Calibri" w:hAnsi="Calibri"/>
                <w:color w:val="334155"/>
                <w:sz w:val="18"/>
              </w:rPr>
              <w:t>25 Hz (High Stress)</w:t>
            </w:r>
          </w:p>
        </w:tc>
        <w:tc>
          <w:tcPr>
            <w:tcW w:type="dxa" w:w="1584"/>
            <w:tcMar>
              <w:top w:w="90" w:type="dxa"/>
              <w:bottom w:w="90" w:type="dxa"/>
              <w:left w:w="140" w:type="dxa"/>
              <w:right w:w="140" w:type="dxa"/>
            </w:tcMar>
          </w:tcPr>
          <w:p>
            <w:r>
              <w:rPr>
                <w:rFonts w:ascii="Calibri" w:hAnsi="Calibri"/>
                <w:color w:val="334155"/>
                <w:sz w:val="18"/>
              </w:rPr>
              <w:t>500 msgs</w:t>
            </w:r>
          </w:p>
        </w:tc>
        <w:tc>
          <w:tcPr>
            <w:tcW w:type="dxa" w:w="1584"/>
            <w:tcMar>
              <w:top w:w="90" w:type="dxa"/>
              <w:bottom w:w="90" w:type="dxa"/>
              <w:left w:w="140" w:type="dxa"/>
              <w:right w:w="140" w:type="dxa"/>
            </w:tcMar>
          </w:tcPr>
          <w:p>
            <w:r>
              <w:rPr>
                <w:rFonts w:ascii="Calibri" w:hAnsi="Calibri"/>
                <w:color w:val="334155"/>
                <w:sz w:val="18"/>
              </w:rPr>
              <w:t>99.8%</w:t>
            </w:r>
          </w:p>
        </w:tc>
        <w:tc>
          <w:tcPr>
            <w:tcW w:type="dxa" w:w="1728"/>
            <w:tcMar>
              <w:top w:w="90" w:type="dxa"/>
              <w:bottom w:w="90" w:type="dxa"/>
              <w:left w:w="140" w:type="dxa"/>
              <w:right w:w="140" w:type="dxa"/>
            </w:tcMar>
          </w:tcPr>
          <w:p>
            <w:r>
              <w:rPr>
                <w:rFonts w:ascii="Calibri" w:hAnsi="Calibri"/>
                <w:color w:val="334155"/>
                <w:sz w:val="18"/>
              </w:rPr>
              <w:t>34.2 ms</w:t>
            </w:r>
          </w:p>
        </w:tc>
        <w:tc>
          <w:tcPr>
            <w:tcW w:type="dxa" w:w="2448"/>
            <w:tcMar>
              <w:top w:w="90" w:type="dxa"/>
              <w:bottom w:w="90" w:type="dxa"/>
              <w:left w:w="140" w:type="dxa"/>
              <w:right w:w="140" w:type="dxa"/>
            </w:tcMar>
          </w:tcPr>
          <w:p>
            <w:r>
              <w:rPr>
                <w:rFonts w:ascii="Calibri" w:hAnsi="Calibri"/>
                <w:color w:val="334155"/>
                <w:sz w:val="18"/>
              </w:rPr>
              <w:t>Token bucket smooths dispatch; 1 dropped redundant duplicate</w:t>
            </w:r>
          </w:p>
        </w:tc>
      </w:tr>
      <w:tr>
        <w:tc>
          <w:tcPr>
            <w:tcW w:type="dxa" w:w="2016"/>
            <w:tcMar>
              <w:top w:w="90" w:type="dxa"/>
              <w:bottom w:w="90" w:type="dxa"/>
              <w:left w:w="140" w:type="dxa"/>
              <w:right w:w="140" w:type="dxa"/>
            </w:tcMar>
          </w:tcPr>
          <w:p>
            <w:r>
              <w:rPr>
                <w:rFonts w:ascii="Calibri" w:hAnsi="Calibri"/>
                <w:color w:val="334155"/>
                <w:sz w:val="18"/>
              </w:rPr>
              <w:t>50 Hz (Saturation Limit)</w:t>
            </w:r>
          </w:p>
        </w:tc>
        <w:tc>
          <w:tcPr>
            <w:tcW w:type="dxa" w:w="1584"/>
            <w:tcMar>
              <w:top w:w="90" w:type="dxa"/>
              <w:bottom w:w="90" w:type="dxa"/>
              <w:left w:w="140" w:type="dxa"/>
              <w:right w:w="140" w:type="dxa"/>
            </w:tcMar>
          </w:tcPr>
          <w:p>
            <w:r>
              <w:rPr>
                <w:rFonts w:ascii="Calibri" w:hAnsi="Calibri"/>
                <w:color w:val="334155"/>
                <w:sz w:val="18"/>
              </w:rPr>
              <w:t>1000 msgs</w:t>
            </w:r>
          </w:p>
        </w:tc>
        <w:tc>
          <w:tcPr>
            <w:tcW w:type="dxa" w:w="1584"/>
            <w:tcMar>
              <w:top w:w="90" w:type="dxa"/>
              <w:bottom w:w="90" w:type="dxa"/>
              <w:left w:w="140" w:type="dxa"/>
              <w:right w:w="140" w:type="dxa"/>
            </w:tcMar>
          </w:tcPr>
          <w:p>
            <w:r>
              <w:rPr>
                <w:rFonts w:ascii="Calibri" w:hAnsi="Calibri"/>
                <w:color w:val="334155"/>
                <w:sz w:val="18"/>
              </w:rPr>
              <w:t>98.5%</w:t>
            </w:r>
          </w:p>
        </w:tc>
        <w:tc>
          <w:tcPr>
            <w:tcW w:type="dxa" w:w="1728"/>
            <w:tcMar>
              <w:top w:w="90" w:type="dxa"/>
              <w:bottom w:w="90" w:type="dxa"/>
              <w:left w:w="140" w:type="dxa"/>
              <w:right w:w="140" w:type="dxa"/>
            </w:tcMar>
          </w:tcPr>
          <w:p>
            <w:r>
              <w:rPr>
                <w:rFonts w:ascii="Calibri" w:hAnsi="Calibri"/>
                <w:color w:val="334155"/>
                <w:sz w:val="18"/>
              </w:rPr>
              <w:t>48.6 ms</w:t>
            </w:r>
          </w:p>
        </w:tc>
        <w:tc>
          <w:tcPr>
            <w:tcW w:type="dxa" w:w="2448"/>
            <w:tcMar>
              <w:top w:w="90" w:type="dxa"/>
              <w:bottom w:w="90" w:type="dxa"/>
              <w:left w:w="140" w:type="dxa"/>
              <w:right w:w="140" w:type="dxa"/>
            </w:tcMar>
          </w:tcPr>
          <w:p>
            <w:r>
              <w:rPr>
                <w:rFonts w:ascii="Calibri" w:hAnsi="Calibri"/>
                <w:color w:val="334155"/>
                <w:sz w:val="18"/>
              </w:rPr>
              <w:t>Backpressure rate limiter throttles excess; FSM preserved</w:t>
            </w:r>
          </w:p>
        </w:tc>
      </w:tr>
    </w:tbl>
    <w:p/>
    <w:p>
      <w:pPr>
        <w:pStyle w:val="Heading2"/>
      </w:pPr>
      <w:r>
        <w:t>5.2 Backpressure &amp; Token Bucket Rate Limiting Algorithm</w:t>
      </w:r>
    </w:p>
    <w:p>
      <w:r>
        <w:t>To prevent edge microcontroller buffer overrun, Master Hub enforces a Token Bucket Rate Limiter at the Input Processor layer:</w:t>
      </w:r>
    </w:p>
    <w:p>
      <w:pPr>
        <w:spacing w:before="80" w:after="120"/>
        <w:ind w:left="432"/>
      </w:pPr>
      <w:r>
        <w:rPr>
          <w:rFonts w:ascii="Consolas" w:hAnsi="Consolas"/>
          <w:color w:val="0F172A"/>
          <w:sz w:val="17"/>
        </w:rPr>
        <w:t>class TokenBucketRateLimiter:</w:t>
        <w:br/>
        <w:t xml:space="preserve">    def __init__(self, rate: float = 20.0, capacity: float = 5.0):</w:t>
        <w:br/>
        <w:t xml:space="preserve">        self.rate = rate          # Tokens added per second</w:t>
        <w:br/>
        <w:t xml:space="preserve">        self.capacity = capacity  # Maximum burst capacity</w:t>
        <w:br/>
        <w:t xml:space="preserve">        self.tokens = capacity</w:t>
        <w:br/>
        <w:t xml:space="preserve">        self.last_time = time.perf_counter()</w:t>
        <w:br/>
        <w:br/>
        <w:t xml:space="preserve">    def allow(self) -&gt; bool:</w:t>
        <w:br/>
        <w:t xml:space="preserve">        now = time.perf_counter()</w:t>
        <w:br/>
        <w:t xml:space="preserve">        elapsed = now - self.last_time</w:t>
        <w:br/>
        <w:t xml:space="preserve">        self.last_time = now</w:t>
        <w:br/>
        <w:t xml:space="preserve">        self.tokens = min(self.capacity, self.tokens + elapsed * self.rate)</w:t>
        <w:br/>
        <w:t xml:space="preserve">        if self.tokens &gt;= 1.0:</w:t>
        <w:br/>
        <w:t xml:space="preserve">            self.tokens -= 1.0</w:t>
        <w:br/>
        <w:t xml:space="preserve">            return True</w:t>
        <w:br/>
        <w:t xml:space="preserve">        return False  # Rate limit exceeded: shed or coalesce</w:t>
      </w:r>
    </w:p>
    <w:p>
      <w:pPr>
        <w:pStyle w:val="Heading1"/>
      </w:pPr>
      <w:r>
        <w:t>6. Tasks 5 &amp; 6: Simultaneous Reception, Conflict Arbitration &amp; Idempotency</w:t>
      </w:r>
    </w:p>
    <w:p>
      <w:r>
        <w:t>When multiple commands arrive simultaneously (e.g., BCI stream sending 'chair_forward' while a UI SOS event fires, or two opposing mobility directions arrive at the same millisecond), the system must guarantee deterministic, safe arbitration.</w:t>
      </w:r>
    </w:p>
    <w:p>
      <w:pPr>
        <w:jc w:val="center"/>
      </w:pPr>
      <w:r>
        <w:drawing>
          <wp:inline xmlns:a="http://schemas.openxmlformats.org/drawingml/2006/main" xmlns:pic="http://schemas.openxmlformats.org/drawingml/2006/picture">
            <wp:extent cx="5669280" cy="3459714"/>
            <wp:docPr id="3" name="Picture 3"/>
            <wp:cNvGraphicFramePr>
              <a:graphicFrameLocks noChangeAspect="1"/>
            </wp:cNvGraphicFramePr>
            <a:graphic>
              <a:graphicData uri="http://schemas.openxmlformats.org/drawingml/2006/picture">
                <pic:pic>
                  <pic:nvPicPr>
                    <pic:cNvPr id="0" name="conflict_and_priority_matrix.png"/>
                    <pic:cNvPicPr/>
                  </pic:nvPicPr>
                  <pic:blipFill>
                    <a:blip r:embed="rId11"/>
                    <a:stretch>
                      <a:fillRect/>
                    </a:stretch>
                  </pic:blipFill>
                  <pic:spPr>
                    <a:xfrm>
                      <a:off x="0" y="0"/>
                      <a:ext cx="5669280" cy="3459714"/>
                    </a:xfrm>
                    <a:prstGeom prst="rect"/>
                  </pic:spPr>
                </pic:pic>
              </a:graphicData>
            </a:graphic>
          </wp:inline>
        </w:drawing>
      </w:r>
    </w:p>
    <w:p>
      <w:pPr>
        <w:jc w:val="center"/>
      </w:pPr>
      <w:r>
        <w:rPr>
          <w:i/>
          <w:color w:val="475569"/>
          <w:sz w:val="18"/>
        </w:rPr>
        <w:t>Figure 3: Multi-Device Concurrency, Priority Arbitration &amp; Staggered Execution Flow</w:t>
      </w:r>
    </w:p>
    <w:p>
      <w:pPr>
        <w:pStyle w:val="Heading2"/>
      </w:pPr>
      <w:r>
        <w:t>6.1 Strict Priority Arbitration Hierarchy</w:t>
      </w:r>
    </w:p>
    <w:p>
      <w:r>
        <w:t>Master Hub enforces a 4-tier strict priority arbiter. High-priority events immediately preempt and flush lower-priority pending actions:</w:t>
        <w:br/>
        <w:t>• Priority 0 (Emergency Interlock / SOS): Immediate vehicle emergency stop (CHAIRSTOP, LIFTCARSTOP in &lt;50ms), water pump cutoff, all lights to 100%, audible PC siren.</w:t>
        <w:br/>
        <w:t>• Priority 1 (User Explicit Halt): Stop gestures (chair_stop, car_stop, system mute).</w:t>
        <w:br/>
        <w:t>• Priority 2 (FSM Mode Transitions): Mode switching commands (e.g., switch to DESKTOP_MODE, switch to IOT_MODE).</w:t>
        <w:br/>
        <w:t>• Priority 3 (Routine Actuations): Standard appliance toggles, volume changes, app launch routines.</w:t>
      </w:r>
    </w:p>
    <w:p>
      <w:pPr>
        <w:pStyle w:val="Heading2"/>
      </w:pPr>
      <w:r>
        <w:t>6.2 Anti-Inrush Staggered Relay Firing (Electrical Safety)</w:t>
      </w:r>
    </w:p>
    <w:p>
      <w:r>
        <w:t>Simultaneously triggering multiple high-power inductive loads (e.g., heavy exhaust fans, hydraulic water pumps, and mobility motors) causes significant inrush current spikes (&gt;10x nominal current) that can cause voltage brownout on the shared 5V/12V DC power rail and crash the microcontrollers. The Orchestrator introduces a deterministic staggered delay (Delta_t = 1000ms) between high-power inductive activations.</w:t>
      </w:r>
    </w:p>
    <w:p>
      <w:pPr>
        <w:pStyle w:val="Heading2"/>
      </w:pPr>
      <w:r>
        <w:t>6.3 Sliding-Window Deduplication &amp; Idempotency</w:t>
      </w:r>
    </w:p>
    <w:p>
      <w:r>
        <w:t>BCI neural decoders often output repeated predictions over a 200ms window. Master Hub applies a sliding-window deduplication filter (Delta_t_dedup = 100ms) keyed by (command_hash, target_domain). Identical repeated commands within this window are acknowledged as no-ops, preventing mechanical relay chatter and coil fatigue.</w:t>
      </w:r>
    </w:p>
    <w:p>
      <w:pPr>
        <w:pStyle w:val="Heading1"/>
      </w:pPr>
      <w:r>
        <w:t>7. Task 7: Raspberry Pi 5 &lt;-&gt; Desktop Serial Communication (TTL Adapter, udev &amp; Desktop Pin Registration)</w:t>
      </w:r>
    </w:p>
    <w:p>
      <w:r>
        <w:t>A dedicated high-bandwidth, deterministic, full-duplex serial communication pipeline was engineered to connect the Raspberry Pi 5 (Linux Edge Co-processor) and the Desktop Workstation (Windows Master Hub Host). This bridge utilizes a high-speed USB-to-TTL hardware adapter, persistent Linux udev device rules on the Pi 5, and dynamic serial pin/COM port registration from the Desktop.</w:t>
      </w:r>
    </w:p>
    <w:p>
      <w:pPr>
        <w:jc w:val="center"/>
      </w:pPr>
      <w:r>
        <w:drawing>
          <wp:inline xmlns:a="http://schemas.openxmlformats.org/drawingml/2006/main" xmlns:pic="http://schemas.openxmlformats.org/drawingml/2006/picture">
            <wp:extent cx="5669280" cy="3208093"/>
            <wp:docPr id="4" name="Picture 4"/>
            <wp:cNvGraphicFramePr>
              <a:graphicFrameLocks noChangeAspect="1"/>
            </wp:cNvGraphicFramePr>
            <a:graphic>
              <a:graphicData uri="http://schemas.openxmlformats.org/drawingml/2006/picture">
                <pic:pic>
                  <pic:nvPicPr>
                    <pic:cNvPr id="0" name="raspi5_desktop_serial_arch.png"/>
                    <pic:cNvPicPr/>
                  </pic:nvPicPr>
                  <pic:blipFill>
                    <a:blip r:embed="rId12"/>
                    <a:stretch>
                      <a:fillRect/>
                    </a:stretch>
                  </pic:blipFill>
                  <pic:spPr>
                    <a:xfrm>
                      <a:off x="0" y="0"/>
                      <a:ext cx="5669280" cy="3208093"/>
                    </a:xfrm>
                    <a:prstGeom prst="rect"/>
                  </pic:spPr>
                </pic:pic>
              </a:graphicData>
            </a:graphic>
          </wp:inline>
        </w:drawing>
      </w:r>
    </w:p>
    <w:p>
      <w:pPr>
        <w:jc w:val="center"/>
      </w:pPr>
      <w:r>
        <w:rPr>
          <w:i/>
          <w:color w:val="475569"/>
          <w:sz w:val="18"/>
        </w:rPr>
        <w:t>Figure 4: Raspberry Pi 5 (udev) &lt;-&gt; Desktop (COM Registration) via USB-to-TTL Serial Bridge</w:t>
      </w:r>
    </w:p>
    <w:p>
      <w:pPr>
        <w:pStyle w:val="Heading2"/>
      </w:pPr>
      <w:r>
        <w:t>7.1 USB-to-TTL Adapter Hardware &amp; Electrical Specification</w:t>
      </w:r>
    </w:p>
    <w:p>
      <w:r>
        <w:t>To achieve low-latency serial transit (&lt; 1.2 ms per frame) without packet corruption, the interface uses an industrial USB-to-TTL UART adapter (Silicon Labs CP2102, FTDI FT232RL, or WCH CH340G):</w:t>
        <w:br/>
        <w:t>• Logic Voltage Level: Strict 3.3V Low-Voltage TTL (LVTTL). Raspberry Pi 5 GPIO pins operate strictly at 3.3V; 5V TTL adapters will permanently damage the Broadcom BCM2712 SoC.</w:t>
        <w:br/>
        <w:t>• Transmission Baud Rate: Operating at 921,600 baud (8-N-1: 8 data bits, no parity, 1 stop bit). At 921.6k baud, each bit takes 1.085 microseconds, allowing a 64-byte telemetry frame to transmit across the wire in just 0.694 ms.</w:t>
        <w:br/>
        <w:t>• Hardware Flow Control (RTS/CTS): Enabled on heavy burst pipelines to prevent buffer overrun during intensive desktop AI inference.</w:t>
      </w:r>
    </w:p>
    <w:p>
      <w:pPr>
        <w:pStyle w:val="Heading2"/>
      </w:pPr>
      <w:r>
        <w:t>7.2 Physical Serial Pinout Configuration Matrix (Desktop to Pi 5)</w:t>
      </w:r>
    </w:p>
    <w:p>
      <w:r>
        <w:t>Table 4 defines the exact physical wiring connections between the USB-to-TTL adapter and the Raspberry Pi 5 40-Pin GPIO header:</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0F172A"/>
            <w:tcMar>
              <w:top w:w="120" w:type="dxa"/>
              <w:bottom w:w="120" w:type="dxa"/>
              <w:left w:w="140" w:type="dxa"/>
              <w:right w:w="140" w:type="dxa"/>
            </w:tcMar>
          </w:tcPr>
          <w:p>
            <w:pPr>
              <w:jc w:val="left"/>
            </w:pPr>
            <w:r>
              <w:rPr>
                <w:rFonts w:ascii="Calibri" w:hAnsi="Calibri"/>
                <w:b/>
                <w:color w:val="F8FAFC"/>
                <w:sz w:val="19"/>
              </w:rPr>
              <w:t>USB-TTL Adapter Pin</w:t>
            </w:r>
          </w:p>
        </w:tc>
        <w:tc>
          <w:tcPr>
            <w:tcW w:type="dxa" w:w="1872"/>
            <w:shd w:fill="0F172A"/>
            <w:tcMar>
              <w:top w:w="120" w:type="dxa"/>
              <w:bottom w:w="120" w:type="dxa"/>
              <w:left w:w="140" w:type="dxa"/>
              <w:right w:w="140" w:type="dxa"/>
            </w:tcMar>
          </w:tcPr>
          <w:p>
            <w:pPr>
              <w:jc w:val="left"/>
            </w:pPr>
            <w:r>
              <w:rPr>
                <w:rFonts w:ascii="Calibri" w:hAnsi="Calibri"/>
                <w:b/>
                <w:color w:val="F8FAFC"/>
                <w:sz w:val="19"/>
              </w:rPr>
              <w:t>Signal Direction</w:t>
            </w:r>
          </w:p>
        </w:tc>
        <w:tc>
          <w:tcPr>
            <w:tcW w:type="dxa" w:w="1872"/>
            <w:shd w:fill="0F172A"/>
            <w:tcMar>
              <w:top w:w="120" w:type="dxa"/>
              <w:bottom w:w="120" w:type="dxa"/>
              <w:left w:w="140" w:type="dxa"/>
              <w:right w:w="140" w:type="dxa"/>
            </w:tcMar>
          </w:tcPr>
          <w:p>
            <w:pPr>
              <w:jc w:val="left"/>
            </w:pPr>
            <w:r>
              <w:rPr>
                <w:rFonts w:ascii="Calibri" w:hAnsi="Calibri"/>
                <w:b/>
                <w:color w:val="F8FAFC"/>
                <w:sz w:val="19"/>
              </w:rPr>
              <w:t>Raspberry Pi 5 Header Pin</w:t>
            </w:r>
          </w:p>
        </w:tc>
        <w:tc>
          <w:tcPr>
            <w:tcW w:type="dxa" w:w="1728"/>
            <w:shd w:fill="0F172A"/>
            <w:tcMar>
              <w:top w:w="120" w:type="dxa"/>
              <w:bottom w:w="120" w:type="dxa"/>
              <w:left w:w="140" w:type="dxa"/>
              <w:right w:w="140" w:type="dxa"/>
            </w:tcMar>
          </w:tcPr>
          <w:p>
            <w:pPr>
              <w:jc w:val="left"/>
            </w:pPr>
            <w:r>
              <w:rPr>
                <w:rFonts w:ascii="Calibri" w:hAnsi="Calibri"/>
                <w:b/>
                <w:color w:val="F8FAFC"/>
                <w:sz w:val="19"/>
              </w:rPr>
              <w:t>Pi 5 Function / BCM</w:t>
            </w:r>
          </w:p>
        </w:tc>
        <w:tc>
          <w:tcPr>
            <w:tcW w:type="dxa" w:w="2592"/>
            <w:shd w:fill="0F172A"/>
            <w:tcMar>
              <w:top w:w="120" w:type="dxa"/>
              <w:bottom w:w="120" w:type="dxa"/>
              <w:left w:w="140" w:type="dxa"/>
              <w:right w:w="140" w:type="dxa"/>
            </w:tcMar>
          </w:tcPr>
          <w:p>
            <w:pPr>
              <w:jc w:val="left"/>
            </w:pPr>
            <w:r>
              <w:rPr>
                <w:rFonts w:ascii="Calibri" w:hAnsi="Calibri"/>
                <w:b/>
                <w:color w:val="F8FAFC"/>
                <w:sz w:val="19"/>
              </w:rPr>
              <w:t>Wiring &amp; Electrical Note</w:t>
            </w:r>
          </w:p>
        </w:tc>
      </w:tr>
      <w:tr>
        <w:tc>
          <w:tcPr>
            <w:tcW w:type="dxa" w:w="2016"/>
            <w:tcMar>
              <w:top w:w="90" w:type="dxa"/>
              <w:bottom w:w="90" w:type="dxa"/>
              <w:left w:w="140" w:type="dxa"/>
              <w:right w:w="140" w:type="dxa"/>
            </w:tcMar>
          </w:tcPr>
          <w:p>
            <w:r>
              <w:rPr>
                <w:rFonts w:ascii="Calibri" w:hAnsi="Calibri"/>
                <w:color w:val="334155"/>
                <w:sz w:val="18"/>
              </w:rPr>
              <w:t>TXD (Transmit)</w:t>
            </w:r>
          </w:p>
        </w:tc>
        <w:tc>
          <w:tcPr>
            <w:tcW w:type="dxa" w:w="1872"/>
            <w:tcMar>
              <w:top w:w="90" w:type="dxa"/>
              <w:bottom w:w="90" w:type="dxa"/>
              <w:left w:w="140" w:type="dxa"/>
              <w:right w:w="140" w:type="dxa"/>
            </w:tcMar>
          </w:tcPr>
          <w:p>
            <w:r>
              <w:rPr>
                <w:rFonts w:ascii="Calibri" w:hAnsi="Calibri"/>
                <w:color w:val="334155"/>
                <w:sz w:val="18"/>
              </w:rPr>
              <w:t>---&gt; Output to Input ---&gt;</w:t>
            </w:r>
          </w:p>
        </w:tc>
        <w:tc>
          <w:tcPr>
            <w:tcW w:type="dxa" w:w="1872"/>
            <w:tcMar>
              <w:top w:w="90" w:type="dxa"/>
              <w:bottom w:w="90" w:type="dxa"/>
              <w:left w:w="140" w:type="dxa"/>
              <w:right w:w="140" w:type="dxa"/>
            </w:tcMar>
          </w:tcPr>
          <w:p>
            <w:r>
              <w:rPr>
                <w:rFonts w:ascii="Calibri" w:hAnsi="Calibri"/>
                <w:color w:val="334155"/>
                <w:sz w:val="18"/>
              </w:rPr>
              <w:t>Physical Pin 10</w:t>
            </w:r>
          </w:p>
        </w:tc>
        <w:tc>
          <w:tcPr>
            <w:tcW w:type="dxa" w:w="1728"/>
            <w:tcMar>
              <w:top w:w="90" w:type="dxa"/>
              <w:bottom w:w="90" w:type="dxa"/>
              <w:left w:w="140" w:type="dxa"/>
              <w:right w:w="140" w:type="dxa"/>
            </w:tcMar>
          </w:tcPr>
          <w:p>
            <w:r>
              <w:rPr>
                <w:rFonts w:ascii="Calibri" w:hAnsi="Calibri"/>
                <w:color w:val="334155"/>
                <w:sz w:val="18"/>
              </w:rPr>
              <w:t>GPIO 15 (UART0 RXD)</w:t>
            </w:r>
          </w:p>
        </w:tc>
        <w:tc>
          <w:tcPr>
            <w:tcW w:type="dxa" w:w="2592"/>
            <w:tcMar>
              <w:top w:w="90" w:type="dxa"/>
              <w:bottom w:w="90" w:type="dxa"/>
              <w:left w:w="140" w:type="dxa"/>
              <w:right w:w="140" w:type="dxa"/>
            </w:tcMar>
          </w:tcPr>
          <w:p>
            <w:r>
              <w:rPr>
                <w:rFonts w:ascii="Calibri" w:hAnsi="Calibri"/>
                <w:color w:val="334155"/>
                <w:sz w:val="18"/>
              </w:rPr>
              <w:t>Cross-over connection (Adapter TX to Pi 5 RX)</w:t>
            </w:r>
          </w:p>
        </w:tc>
      </w:tr>
      <w:tr>
        <w:tc>
          <w:tcPr>
            <w:tcW w:type="dxa" w:w="2016"/>
            <w:tcMar>
              <w:top w:w="90" w:type="dxa"/>
              <w:bottom w:w="90" w:type="dxa"/>
              <w:left w:w="140" w:type="dxa"/>
              <w:right w:w="140" w:type="dxa"/>
            </w:tcMar>
          </w:tcPr>
          <w:p>
            <w:r>
              <w:rPr>
                <w:rFonts w:ascii="Calibri" w:hAnsi="Calibri"/>
                <w:color w:val="334155"/>
                <w:sz w:val="18"/>
              </w:rPr>
              <w:t>RXD (Receive)</w:t>
            </w:r>
          </w:p>
        </w:tc>
        <w:tc>
          <w:tcPr>
            <w:tcW w:type="dxa" w:w="1872"/>
            <w:tcMar>
              <w:top w:w="90" w:type="dxa"/>
              <w:bottom w:w="90" w:type="dxa"/>
              <w:left w:w="140" w:type="dxa"/>
              <w:right w:w="140" w:type="dxa"/>
            </w:tcMar>
          </w:tcPr>
          <w:p>
            <w:r>
              <w:rPr>
                <w:rFonts w:ascii="Calibri" w:hAnsi="Calibri"/>
                <w:color w:val="334155"/>
                <w:sz w:val="18"/>
              </w:rPr>
              <w:t>&lt;--- Input from Output &lt;---</w:t>
            </w:r>
          </w:p>
        </w:tc>
        <w:tc>
          <w:tcPr>
            <w:tcW w:type="dxa" w:w="1872"/>
            <w:tcMar>
              <w:top w:w="90" w:type="dxa"/>
              <w:bottom w:w="90" w:type="dxa"/>
              <w:left w:w="140" w:type="dxa"/>
              <w:right w:w="140" w:type="dxa"/>
            </w:tcMar>
          </w:tcPr>
          <w:p>
            <w:r>
              <w:rPr>
                <w:rFonts w:ascii="Calibri" w:hAnsi="Calibri"/>
                <w:color w:val="334155"/>
                <w:sz w:val="18"/>
              </w:rPr>
              <w:t>Physical Pin 8</w:t>
            </w:r>
          </w:p>
        </w:tc>
        <w:tc>
          <w:tcPr>
            <w:tcW w:type="dxa" w:w="1728"/>
            <w:tcMar>
              <w:top w:w="90" w:type="dxa"/>
              <w:bottom w:w="90" w:type="dxa"/>
              <w:left w:w="140" w:type="dxa"/>
              <w:right w:w="140" w:type="dxa"/>
            </w:tcMar>
          </w:tcPr>
          <w:p>
            <w:r>
              <w:rPr>
                <w:rFonts w:ascii="Calibri" w:hAnsi="Calibri"/>
                <w:color w:val="334155"/>
                <w:sz w:val="18"/>
              </w:rPr>
              <w:t>GPIO 14 (UART0 TXD)</w:t>
            </w:r>
          </w:p>
        </w:tc>
        <w:tc>
          <w:tcPr>
            <w:tcW w:type="dxa" w:w="2592"/>
            <w:tcMar>
              <w:top w:w="90" w:type="dxa"/>
              <w:bottom w:w="90" w:type="dxa"/>
              <w:left w:w="140" w:type="dxa"/>
              <w:right w:w="140" w:type="dxa"/>
            </w:tcMar>
          </w:tcPr>
          <w:p>
            <w:r>
              <w:rPr>
                <w:rFonts w:ascii="Calibri" w:hAnsi="Calibri"/>
                <w:color w:val="334155"/>
                <w:sz w:val="18"/>
              </w:rPr>
              <w:t>Cross-over connection (Adapter RX to Pi 5 TX)</w:t>
            </w:r>
          </w:p>
        </w:tc>
      </w:tr>
      <w:tr>
        <w:tc>
          <w:tcPr>
            <w:tcW w:type="dxa" w:w="2016"/>
            <w:tcMar>
              <w:top w:w="90" w:type="dxa"/>
              <w:bottom w:w="90" w:type="dxa"/>
              <w:left w:w="140" w:type="dxa"/>
              <w:right w:w="140" w:type="dxa"/>
            </w:tcMar>
          </w:tcPr>
          <w:p>
            <w:r>
              <w:rPr>
                <w:rFonts w:ascii="Calibri" w:hAnsi="Calibri"/>
                <w:color w:val="334155"/>
                <w:sz w:val="18"/>
              </w:rPr>
              <w:t>GND (Ground)</w:t>
            </w:r>
          </w:p>
        </w:tc>
        <w:tc>
          <w:tcPr>
            <w:tcW w:type="dxa" w:w="1872"/>
            <w:tcMar>
              <w:top w:w="90" w:type="dxa"/>
              <w:bottom w:w="90" w:type="dxa"/>
              <w:left w:w="140" w:type="dxa"/>
              <w:right w:w="140" w:type="dxa"/>
            </w:tcMar>
          </w:tcPr>
          <w:p>
            <w:r>
              <w:rPr>
                <w:rFonts w:ascii="Calibri" w:hAnsi="Calibri"/>
                <w:color w:val="334155"/>
                <w:sz w:val="18"/>
              </w:rPr>
              <w:t>&lt;--- Common Reference ---&gt;</w:t>
            </w:r>
          </w:p>
        </w:tc>
        <w:tc>
          <w:tcPr>
            <w:tcW w:type="dxa" w:w="1872"/>
            <w:tcMar>
              <w:top w:w="90" w:type="dxa"/>
              <w:bottom w:w="90" w:type="dxa"/>
              <w:left w:w="140" w:type="dxa"/>
              <w:right w:w="140" w:type="dxa"/>
            </w:tcMar>
          </w:tcPr>
          <w:p>
            <w:r>
              <w:rPr>
                <w:rFonts w:ascii="Calibri" w:hAnsi="Calibri"/>
                <w:color w:val="334155"/>
                <w:sz w:val="18"/>
              </w:rPr>
              <w:t>Physical Pin 6 (or Pin 14)</w:t>
            </w:r>
          </w:p>
        </w:tc>
        <w:tc>
          <w:tcPr>
            <w:tcW w:type="dxa" w:w="1728"/>
            <w:tcMar>
              <w:top w:w="90" w:type="dxa"/>
              <w:bottom w:w="90" w:type="dxa"/>
              <w:left w:w="140" w:type="dxa"/>
              <w:right w:w="140" w:type="dxa"/>
            </w:tcMar>
          </w:tcPr>
          <w:p>
            <w:r>
              <w:rPr>
                <w:rFonts w:ascii="Calibri" w:hAnsi="Calibri"/>
                <w:color w:val="334155"/>
                <w:sz w:val="18"/>
              </w:rPr>
              <w:t>System Ground (0V)</w:t>
            </w:r>
          </w:p>
        </w:tc>
        <w:tc>
          <w:tcPr>
            <w:tcW w:type="dxa" w:w="2592"/>
            <w:tcMar>
              <w:top w:w="90" w:type="dxa"/>
              <w:bottom w:w="90" w:type="dxa"/>
              <w:left w:w="140" w:type="dxa"/>
              <w:right w:w="140" w:type="dxa"/>
            </w:tcMar>
          </w:tcPr>
          <w:p>
            <w:r>
              <w:rPr>
                <w:rFonts w:ascii="Calibri" w:hAnsi="Calibri"/>
                <w:color w:val="334155"/>
                <w:sz w:val="18"/>
              </w:rPr>
              <w:t>MANDATORY: Establishes common voltage reference</w:t>
            </w:r>
          </w:p>
        </w:tc>
      </w:tr>
      <w:tr>
        <w:tc>
          <w:tcPr>
            <w:tcW w:type="dxa" w:w="2016"/>
            <w:tcMar>
              <w:top w:w="90" w:type="dxa"/>
              <w:bottom w:w="90" w:type="dxa"/>
              <w:left w:w="140" w:type="dxa"/>
              <w:right w:w="140" w:type="dxa"/>
            </w:tcMar>
          </w:tcPr>
          <w:p>
            <w:r>
              <w:rPr>
                <w:rFonts w:ascii="Calibri" w:hAnsi="Calibri"/>
                <w:color w:val="334155"/>
                <w:sz w:val="18"/>
              </w:rPr>
              <w:t>CTS (Clear to Send)</w:t>
            </w:r>
          </w:p>
        </w:tc>
        <w:tc>
          <w:tcPr>
            <w:tcW w:type="dxa" w:w="1872"/>
            <w:tcMar>
              <w:top w:w="90" w:type="dxa"/>
              <w:bottom w:w="90" w:type="dxa"/>
              <w:left w:w="140" w:type="dxa"/>
              <w:right w:w="140" w:type="dxa"/>
            </w:tcMar>
          </w:tcPr>
          <w:p>
            <w:r>
              <w:rPr>
                <w:rFonts w:ascii="Calibri" w:hAnsi="Calibri"/>
                <w:color w:val="334155"/>
                <w:sz w:val="18"/>
              </w:rPr>
              <w:t>---&gt; Flow Control ---&gt;</w:t>
            </w:r>
          </w:p>
        </w:tc>
        <w:tc>
          <w:tcPr>
            <w:tcW w:type="dxa" w:w="1872"/>
            <w:tcMar>
              <w:top w:w="90" w:type="dxa"/>
              <w:bottom w:w="90" w:type="dxa"/>
              <w:left w:w="140" w:type="dxa"/>
              <w:right w:w="140" w:type="dxa"/>
            </w:tcMar>
          </w:tcPr>
          <w:p>
            <w:r>
              <w:rPr>
                <w:rFonts w:ascii="Calibri" w:hAnsi="Calibri"/>
                <w:color w:val="334155"/>
                <w:sz w:val="18"/>
              </w:rPr>
              <w:t>Physical Pin 11</w:t>
            </w:r>
          </w:p>
        </w:tc>
        <w:tc>
          <w:tcPr>
            <w:tcW w:type="dxa" w:w="1728"/>
            <w:tcMar>
              <w:top w:w="90" w:type="dxa"/>
              <w:bottom w:w="90" w:type="dxa"/>
              <w:left w:w="140" w:type="dxa"/>
              <w:right w:w="140" w:type="dxa"/>
            </w:tcMar>
          </w:tcPr>
          <w:p>
            <w:r>
              <w:rPr>
                <w:rFonts w:ascii="Calibri" w:hAnsi="Calibri"/>
                <w:color w:val="334155"/>
                <w:sz w:val="18"/>
              </w:rPr>
              <w:t>GPIO 17 (UART0 RTS)</w:t>
            </w:r>
          </w:p>
        </w:tc>
        <w:tc>
          <w:tcPr>
            <w:tcW w:type="dxa" w:w="2592"/>
            <w:tcMar>
              <w:top w:w="90" w:type="dxa"/>
              <w:bottom w:w="90" w:type="dxa"/>
              <w:left w:w="140" w:type="dxa"/>
              <w:right w:w="140" w:type="dxa"/>
            </w:tcMar>
          </w:tcPr>
          <w:p>
            <w:r>
              <w:rPr>
                <w:rFonts w:ascii="Calibri" w:hAnsi="Calibri"/>
                <w:color w:val="334155"/>
                <w:sz w:val="18"/>
              </w:rPr>
              <w:t>Optional hardware flow control (active low)</w:t>
            </w:r>
          </w:p>
        </w:tc>
      </w:tr>
      <w:tr>
        <w:tc>
          <w:tcPr>
            <w:tcW w:type="dxa" w:w="2016"/>
            <w:tcMar>
              <w:top w:w="90" w:type="dxa"/>
              <w:bottom w:w="90" w:type="dxa"/>
              <w:left w:w="140" w:type="dxa"/>
              <w:right w:w="140" w:type="dxa"/>
            </w:tcMar>
          </w:tcPr>
          <w:p>
            <w:r>
              <w:rPr>
                <w:rFonts w:ascii="Calibri" w:hAnsi="Calibri"/>
                <w:color w:val="334155"/>
                <w:sz w:val="18"/>
              </w:rPr>
              <w:t>VCC (5V / 3.3V)</w:t>
            </w:r>
          </w:p>
        </w:tc>
        <w:tc>
          <w:tcPr>
            <w:tcW w:type="dxa" w:w="1872"/>
            <w:tcMar>
              <w:top w:w="90" w:type="dxa"/>
              <w:bottom w:w="90" w:type="dxa"/>
              <w:left w:w="140" w:type="dxa"/>
              <w:right w:w="140" w:type="dxa"/>
            </w:tcMar>
          </w:tcPr>
          <w:p>
            <w:r>
              <w:rPr>
                <w:rFonts w:ascii="Calibri" w:hAnsi="Calibri"/>
                <w:color w:val="334155"/>
                <w:sz w:val="18"/>
              </w:rPr>
              <w:t>[DISCONNECTED]</w:t>
            </w:r>
          </w:p>
        </w:tc>
        <w:tc>
          <w:tcPr>
            <w:tcW w:type="dxa" w:w="1872"/>
            <w:tcMar>
              <w:top w:w="90" w:type="dxa"/>
              <w:bottom w:w="90" w:type="dxa"/>
              <w:left w:w="140" w:type="dxa"/>
              <w:right w:w="140" w:type="dxa"/>
            </w:tcMar>
          </w:tcPr>
          <w:p>
            <w:r>
              <w:rPr>
                <w:rFonts w:ascii="Calibri" w:hAnsi="Calibri"/>
                <w:color w:val="334155"/>
                <w:sz w:val="18"/>
              </w:rPr>
              <w:t>[NOT CONNECTED]</w:t>
            </w:r>
          </w:p>
        </w:tc>
        <w:tc>
          <w:tcPr>
            <w:tcW w:type="dxa" w:w="1728"/>
            <w:tcMar>
              <w:top w:w="90" w:type="dxa"/>
              <w:bottom w:w="90" w:type="dxa"/>
              <w:left w:w="140" w:type="dxa"/>
              <w:right w:w="140" w:type="dxa"/>
            </w:tcMar>
          </w:tcPr>
          <w:p>
            <w:r>
              <w:rPr>
                <w:rFonts w:ascii="Calibri" w:hAnsi="Calibri"/>
                <w:color w:val="334155"/>
                <w:sz w:val="18"/>
              </w:rPr>
              <w:t>Power Rail</w:t>
            </w:r>
          </w:p>
        </w:tc>
        <w:tc>
          <w:tcPr>
            <w:tcW w:type="dxa" w:w="2592"/>
            <w:tcMar>
              <w:top w:w="90" w:type="dxa"/>
              <w:bottom w:w="90" w:type="dxa"/>
              <w:left w:w="140" w:type="dxa"/>
              <w:right w:w="140" w:type="dxa"/>
            </w:tcMar>
          </w:tcPr>
          <w:p>
            <w:r>
              <w:rPr>
                <w:rFonts w:ascii="Calibri" w:hAnsi="Calibri"/>
                <w:color w:val="334155"/>
                <w:sz w:val="18"/>
              </w:rPr>
              <w:t>CRITICAL SAFETY: DO NOT CONNECT if Pi 5 is powered via USB-C PD!</w:t>
            </w:r>
          </w:p>
        </w:tc>
      </w:tr>
    </w:tbl>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before="40" w:after="40"/>
            </w:pPr>
            <w:r>
              <w:rPr>
                <w:rFonts w:ascii="Calibri" w:hAnsi="Calibri"/>
                <w:b/>
                <w:color w:val="DC2626"/>
                <w:sz w:val="20"/>
              </w:rPr>
              <w:t xml:space="preserve">[SAFETY MANDATE] </w:t>
            </w:r>
            <w:r>
              <w:rPr>
                <w:rFonts w:ascii="Calibri" w:hAnsi="Calibri"/>
                <w:color w:val="1E293B"/>
                <w:sz w:val="20"/>
              </w:rPr>
              <w:t>Electrical Safety Warning: The USB-to-TTL adapter's VCC pin must NEVER be connected to the Raspberry Pi 5 5V or 3.3V header pins when the Pi 5 is powered by its dedicated USB-C Power Supply. Doing so causes reverse current injection and ground loops that can destroy both the host Desktop motherboard and the Pi 5.</w:t>
            </w:r>
          </w:p>
        </w:tc>
      </w:tr>
    </w:tbl>
    <w:p/>
    <w:p>
      <w:pPr>
        <w:pStyle w:val="Heading2"/>
      </w:pPr>
      <w:r>
        <w:t>7.3 Raspberry Pi 5 Linux udev Rules Configuration</w:t>
      </w:r>
    </w:p>
    <w:p>
      <w:r>
        <w:t>By default, Linux dynamically assigns tty node names (/dev/ttyUSB0, /dev/ttyUSB1, /dev/ttyACM0) based on plug order. To ensure deterministic binding and persistent permission grants, a dedicated udev rule is configured on the Raspberry Pi 5.</w:t>
      </w:r>
    </w:p>
    <w:p>
      <w:r>
        <w:t>Step 1: Identify USB-to-TTL Adapter Hardware Attributes on Pi 5:</w:t>
        <w:br/>
        <w:t>Execute in terminal: udevadm info -a -n /dev/ttyUSB0 | grep -E 'idVendor|idProduct|serial'</w:t>
        <w:br/>
        <w:t>Sample Output: ATTRS{idVendor}=="10c4", ATTRS{idProduct}=="ea60", ATTRS{serial}=="0001" (Silicon Labs CP2102)</w:t>
      </w:r>
    </w:p>
    <w:p>
      <w:r>
        <w:t>Step 2: Create Persistent udev Rule File (/etc/udev/rules.d/99-masterhub-serial.rules):</w:t>
      </w:r>
    </w:p>
    <w:p>
      <w:pPr>
        <w:spacing w:before="80" w:after="120"/>
        <w:ind w:left="432"/>
      </w:pPr>
      <w:r>
        <w:rPr>
          <w:rFonts w:ascii="Consolas" w:hAnsi="Consolas"/>
          <w:color w:val="0F172A"/>
          <w:sz w:val="17"/>
        </w:rPr>
        <w:t># /etc/udev/rules.d/99-masterhub-serial.rules</w:t>
        <w:br/>
        <w:t># Persistent symlink and non-root dialout permissions for Master Hub Serial Bridge</w:t>
        <w:br/>
        <w:br/>
        <w:t>SUBSYSTEM=="tty", ATTRS{idVendor}=="10c4", ATTRS{idProduct}=="ea60", SYMLINK+="masterhub_serial", MODE="0666", GROUP="dialout"</w:t>
        <w:br/>
        <w:t>SUBSYSTEM=="tty", ATTRS{idVendor}=="0403", ATTRS{idProduct}=="6001", SYMLINK+="masterhub_serial", MODE="0666", GROUP="dialout"</w:t>
        <w:br/>
        <w:t>SUBSYSTEM=="tty", ATTRS{idVendor}=="1a86", ATTRS{idProduct}=="7523", SYMLINK+="masterhub_serial", MODE="0666", GROUP="dialout"</w:t>
      </w:r>
    </w:p>
    <w:p>
      <w:r>
        <w:t>Step 3: Reload and Trigger udev Rules on Raspberry Pi 5:</w:t>
        <w:br/>
        <w:t>sudo udevadm control --reload-rules &amp;&amp; sudo udevadm trigger</w:t>
        <w:br/>
        <w:t>sudo usermod -a -G dialout $USER</w:t>
        <w:br/>
        <w:t>Verification: ls -l /dev/masterhub_serial -&gt; points deterministically to /dev/ttyUSB0 with crw-rw-rw- permissions.</w:t>
      </w:r>
    </w:p>
    <w:p>
      <w:pPr>
        <w:pStyle w:val="Heading2"/>
      </w:pPr>
      <w:r>
        <w:t>7.4 Desktop Serial Pin &amp; COM Port Dynamic Registration System</w:t>
      </w:r>
    </w:p>
    <w:p>
      <w:r>
        <w:t>On Windows Desktop workstations, COM port numbers can change upon reboot or USB hub re-enumeration (e.g. COM3 switching to COM5). The Master Hub Desktop Core implements a dynamic Hardware ID (HWID) auto-registration module.</w:t>
      </w:r>
    </w:p>
    <w:p>
      <w:r>
        <w:t>The Desktop Serial Manager scans all active COM ports via serial.tools.list_ports, matches known VID:PID descriptors against an approved registry, and automatically binds the active COM port into runtime memory and config.py without requiring manual configuration:</w:t>
      </w:r>
    </w:p>
    <w:p>
      <w:pPr>
        <w:spacing w:before="80" w:after="120"/>
        <w:ind w:left="432"/>
      </w:pPr>
      <w:r>
        <w:rPr>
          <w:rFonts w:ascii="Consolas" w:hAnsi="Consolas"/>
          <w:color w:val="0F172A"/>
          <w:sz w:val="17"/>
        </w:rPr>
        <w:t># services/serial_registration.py: Desktop Dynamic COM Port Auto-Discovery</w:t>
        <w:br/>
        <w:t>import serial.tools.list_ports</w:t>
        <w:br/>
        <w:t>from services.logger_service import get_logger</w:t>
        <w:br/>
        <w:br/>
        <w:t>log = get_logger('core.serial_registration')</w:t>
        <w:br/>
        <w:br/>
        <w:t>APPROVED_VID_PID = {</w:t>
        <w:br/>
        <w:t xml:space="preserve">    ('10C4', 'EA60'): 'Silicon Labs CP2102 USB-to-UART Bridge',</w:t>
        <w:br/>
        <w:t xml:space="preserve">    ('0403', '6001'): 'FTDI FT232R USB UART IC',</w:t>
        <w:br/>
        <w:t xml:space="preserve">    ('1A86', '7523'): 'WCH CH340 USB-Serial Converter',</w:t>
        <w:br/>
        <w:t>}</w:t>
        <w:br/>
        <w:br/>
        <w:t>def discover_and_register_serial_port(fallback_port='COM4', baudrate=921600):</w:t>
        <w:br/>
        <w:t xml:space="preserve">    ports = list(serial.tools.list_ports.comports())</w:t>
        <w:br/>
        <w:t xml:space="preserve">    for p in ports:</w:t>
        <w:br/>
        <w:t xml:space="preserve">        vid = f'{p.vid:04X}' if p.vid else ''</w:t>
        <w:br/>
        <w:t xml:space="preserve">        pid = f'{p.pid:04X}' if p.pid else ''</w:t>
        <w:br/>
        <w:t xml:space="preserve">        if (vid, pid) in APPROVED_VID_PID:</w:t>
        <w:br/>
        <w:t xml:space="preserve">            device_name = APPROVED_VID_PID[(vid, pid)]</w:t>
        <w:br/>
        <w:t xml:space="preserve">            log.info(f'[SERIAL REGISTERED] Found {device_name} on {p.device} (HWID: {p.hwid})')</w:t>
        <w:br/>
        <w:t xml:space="preserve">            return {'port': p.device, 'baudrate': baudrate, 'device': device_name, 'registered': True}</w:t>
        <w:br/>
        <w:br/>
        <w:t xml:space="preserve">    log.warning(f'[SERIAL FALLBACK] No approved USB-TTL adapter auto-detected. Using fallback {fallback_port}')</w:t>
        <w:br/>
        <w:t xml:space="preserve">    return {'port': fallback_port, 'baudrate': baudrate, 'device': 'Fallback/Manual', 'registered': False}</w:t>
      </w:r>
    </w:p>
    <w:p>
      <w:pPr>
        <w:pStyle w:val="Heading2"/>
      </w:pPr>
      <w:r>
        <w:t>7.5 Framed Binary Packet Protocol Specification</w:t>
      </w:r>
    </w:p>
    <w:p>
      <w:r>
        <w:t>Table 5 outlines the byte-level framed packet layout engineered for serial robustness:</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8FAFC"/>
                <w:sz w:val="19"/>
              </w:rPr>
              <w:t>Field</w:t>
            </w:r>
          </w:p>
        </w:tc>
        <w:tc>
          <w:tcPr>
            <w:tcW w:type="dxa" w:w="1440"/>
            <w:shd w:fill="0F172A"/>
            <w:tcMar>
              <w:top w:w="120" w:type="dxa"/>
              <w:bottom w:w="120" w:type="dxa"/>
              <w:left w:w="140" w:type="dxa"/>
              <w:right w:w="140" w:type="dxa"/>
            </w:tcMar>
          </w:tcPr>
          <w:p>
            <w:pPr>
              <w:jc w:val="left"/>
            </w:pPr>
            <w:r>
              <w:rPr>
                <w:rFonts w:ascii="Calibri" w:hAnsi="Calibri"/>
                <w:b/>
                <w:color w:val="F8FAFC"/>
                <w:sz w:val="19"/>
              </w:rPr>
              <w:t>Byte Length</w:t>
            </w:r>
          </w:p>
        </w:tc>
        <w:tc>
          <w:tcPr>
            <w:tcW w:type="dxa" w:w="2592"/>
            <w:shd w:fill="0F172A"/>
            <w:tcMar>
              <w:top w:w="120" w:type="dxa"/>
              <w:bottom w:w="120" w:type="dxa"/>
              <w:left w:w="140" w:type="dxa"/>
              <w:right w:w="140" w:type="dxa"/>
            </w:tcMar>
          </w:tcPr>
          <w:p>
            <w:pPr>
              <w:jc w:val="left"/>
            </w:pPr>
            <w:r>
              <w:rPr>
                <w:rFonts w:ascii="Calibri" w:hAnsi="Calibri"/>
                <w:b/>
                <w:color w:val="F8FAFC"/>
                <w:sz w:val="19"/>
              </w:rPr>
              <w:t>Value / Type</w:t>
            </w:r>
          </w:p>
        </w:tc>
        <w:tc>
          <w:tcPr>
            <w:tcW w:type="dxa" w:w="2736"/>
            <w:shd w:fill="0F172A"/>
            <w:tcMar>
              <w:top w:w="120" w:type="dxa"/>
              <w:bottom w:w="120" w:type="dxa"/>
              <w:left w:w="140" w:type="dxa"/>
              <w:right w:w="140" w:type="dxa"/>
            </w:tcMar>
          </w:tcPr>
          <w:p>
            <w:pPr>
              <w:jc w:val="left"/>
            </w:pPr>
            <w:r>
              <w:rPr>
                <w:rFonts w:ascii="Calibri" w:hAnsi="Calibri"/>
                <w:b/>
                <w:color w:val="F8FAFC"/>
                <w:sz w:val="19"/>
              </w:rPr>
              <w:t>Functional Description</w:t>
            </w:r>
          </w:p>
        </w:tc>
      </w:tr>
      <w:tr>
        <w:tc>
          <w:tcPr>
            <w:tcW w:type="dxa" w:w="2592"/>
            <w:tcMar>
              <w:top w:w="90" w:type="dxa"/>
              <w:bottom w:w="90" w:type="dxa"/>
              <w:left w:w="140" w:type="dxa"/>
              <w:right w:w="140" w:type="dxa"/>
            </w:tcMar>
          </w:tcPr>
          <w:p>
            <w:r>
              <w:rPr>
                <w:rFonts w:ascii="Calibri" w:hAnsi="Calibri"/>
                <w:color w:val="334155"/>
                <w:sz w:val="18"/>
              </w:rPr>
              <w:t>Start of Frame (SOF)</w:t>
            </w:r>
          </w:p>
        </w:tc>
        <w:tc>
          <w:tcPr>
            <w:tcW w:type="dxa" w:w="1440"/>
            <w:tcMar>
              <w:top w:w="90" w:type="dxa"/>
              <w:bottom w:w="90" w:type="dxa"/>
              <w:left w:w="140" w:type="dxa"/>
              <w:right w:w="140" w:type="dxa"/>
            </w:tcMar>
          </w:tcPr>
          <w:p>
            <w:r>
              <w:rPr>
                <w:rFonts w:ascii="Calibri" w:hAnsi="Calibri"/>
                <w:color w:val="334155"/>
                <w:sz w:val="18"/>
              </w:rPr>
              <w:t>2 Bytes</w:t>
            </w:r>
          </w:p>
        </w:tc>
        <w:tc>
          <w:tcPr>
            <w:tcW w:type="dxa" w:w="2592"/>
            <w:tcMar>
              <w:top w:w="90" w:type="dxa"/>
              <w:bottom w:w="90" w:type="dxa"/>
              <w:left w:w="140" w:type="dxa"/>
              <w:right w:w="140" w:type="dxa"/>
            </w:tcMar>
          </w:tcPr>
          <w:p>
            <w:r>
              <w:rPr>
                <w:rFonts w:ascii="Calibri" w:hAnsi="Calibri"/>
                <w:color w:val="334155"/>
                <w:sz w:val="18"/>
              </w:rPr>
              <w:t>0xAA 0x55</w:t>
            </w:r>
          </w:p>
        </w:tc>
        <w:tc>
          <w:tcPr>
            <w:tcW w:type="dxa" w:w="2736"/>
            <w:tcMar>
              <w:top w:w="90" w:type="dxa"/>
              <w:bottom w:w="90" w:type="dxa"/>
              <w:left w:w="140" w:type="dxa"/>
              <w:right w:w="140" w:type="dxa"/>
            </w:tcMar>
          </w:tcPr>
          <w:p>
            <w:r>
              <w:rPr>
                <w:rFonts w:ascii="Calibri" w:hAnsi="Calibri"/>
                <w:color w:val="334155"/>
                <w:sz w:val="18"/>
              </w:rPr>
              <w:t>Unique synchronization preamble pattern</w:t>
            </w:r>
          </w:p>
        </w:tc>
      </w:tr>
      <w:tr>
        <w:tc>
          <w:tcPr>
            <w:tcW w:type="dxa" w:w="2592"/>
            <w:tcMar>
              <w:top w:w="90" w:type="dxa"/>
              <w:bottom w:w="90" w:type="dxa"/>
              <w:left w:w="140" w:type="dxa"/>
              <w:right w:w="140" w:type="dxa"/>
            </w:tcMar>
          </w:tcPr>
          <w:p>
            <w:r>
              <w:rPr>
                <w:rFonts w:ascii="Calibri" w:hAnsi="Calibri"/>
                <w:color w:val="334155"/>
                <w:sz w:val="18"/>
              </w:rPr>
              <w:t>Payload Length (LEN)</w:t>
            </w:r>
          </w:p>
        </w:tc>
        <w:tc>
          <w:tcPr>
            <w:tcW w:type="dxa" w:w="1440"/>
            <w:tcMar>
              <w:top w:w="90" w:type="dxa"/>
              <w:bottom w:w="90" w:type="dxa"/>
              <w:left w:w="140" w:type="dxa"/>
              <w:right w:w="140" w:type="dxa"/>
            </w:tcMar>
          </w:tcPr>
          <w:p>
            <w:r>
              <w:rPr>
                <w:rFonts w:ascii="Calibri" w:hAnsi="Calibri"/>
                <w:color w:val="334155"/>
                <w:sz w:val="18"/>
              </w:rPr>
              <w:t>2 Bytes</w:t>
            </w:r>
          </w:p>
        </w:tc>
        <w:tc>
          <w:tcPr>
            <w:tcW w:type="dxa" w:w="2592"/>
            <w:tcMar>
              <w:top w:w="90" w:type="dxa"/>
              <w:bottom w:w="90" w:type="dxa"/>
              <w:left w:w="140" w:type="dxa"/>
              <w:right w:w="140" w:type="dxa"/>
            </w:tcMar>
          </w:tcPr>
          <w:p>
            <w:r>
              <w:rPr>
                <w:rFonts w:ascii="Calibri" w:hAnsi="Calibri"/>
                <w:color w:val="334155"/>
                <w:sz w:val="18"/>
              </w:rPr>
              <w:t>uint16_t (0-512)</w:t>
            </w:r>
          </w:p>
        </w:tc>
        <w:tc>
          <w:tcPr>
            <w:tcW w:type="dxa" w:w="2736"/>
            <w:tcMar>
              <w:top w:w="90" w:type="dxa"/>
              <w:bottom w:w="90" w:type="dxa"/>
              <w:left w:w="140" w:type="dxa"/>
              <w:right w:w="140" w:type="dxa"/>
            </w:tcMar>
          </w:tcPr>
          <w:p>
            <w:r>
              <w:rPr>
                <w:rFonts w:ascii="Calibri" w:hAnsi="Calibri"/>
                <w:color w:val="334155"/>
                <w:sz w:val="18"/>
              </w:rPr>
              <w:t>Length of data payload following header</w:t>
            </w:r>
          </w:p>
        </w:tc>
      </w:tr>
      <w:tr>
        <w:tc>
          <w:tcPr>
            <w:tcW w:type="dxa" w:w="2592"/>
            <w:tcMar>
              <w:top w:w="90" w:type="dxa"/>
              <w:bottom w:w="90" w:type="dxa"/>
              <w:left w:w="140" w:type="dxa"/>
              <w:right w:w="140" w:type="dxa"/>
            </w:tcMar>
          </w:tcPr>
          <w:p>
            <w:r>
              <w:rPr>
                <w:rFonts w:ascii="Calibri" w:hAnsi="Calibri"/>
                <w:color w:val="334155"/>
                <w:sz w:val="18"/>
              </w:rPr>
              <w:t>Sequence Counter (SEQ)</w:t>
            </w:r>
          </w:p>
        </w:tc>
        <w:tc>
          <w:tcPr>
            <w:tcW w:type="dxa" w:w="1440"/>
            <w:tcMar>
              <w:top w:w="90" w:type="dxa"/>
              <w:bottom w:w="90" w:type="dxa"/>
              <w:left w:w="140" w:type="dxa"/>
              <w:right w:w="140" w:type="dxa"/>
            </w:tcMar>
          </w:tcPr>
          <w:p>
            <w:r>
              <w:rPr>
                <w:rFonts w:ascii="Calibri" w:hAnsi="Calibri"/>
                <w:color w:val="334155"/>
                <w:sz w:val="18"/>
              </w:rPr>
              <w:t>2 Bytes</w:t>
            </w:r>
          </w:p>
        </w:tc>
        <w:tc>
          <w:tcPr>
            <w:tcW w:type="dxa" w:w="2592"/>
            <w:tcMar>
              <w:top w:w="90" w:type="dxa"/>
              <w:bottom w:w="90" w:type="dxa"/>
              <w:left w:w="140" w:type="dxa"/>
              <w:right w:w="140" w:type="dxa"/>
            </w:tcMar>
          </w:tcPr>
          <w:p>
            <w:r>
              <w:rPr>
                <w:rFonts w:ascii="Calibri" w:hAnsi="Calibri"/>
                <w:color w:val="334155"/>
                <w:sz w:val="18"/>
              </w:rPr>
              <w:t>uint16_t (0-65535)</w:t>
            </w:r>
          </w:p>
        </w:tc>
        <w:tc>
          <w:tcPr>
            <w:tcW w:type="dxa" w:w="2736"/>
            <w:tcMar>
              <w:top w:w="90" w:type="dxa"/>
              <w:bottom w:w="90" w:type="dxa"/>
              <w:left w:w="140" w:type="dxa"/>
              <w:right w:w="140" w:type="dxa"/>
            </w:tcMar>
          </w:tcPr>
          <w:p>
            <w:r>
              <w:rPr>
                <w:rFonts w:ascii="Calibri" w:hAnsi="Calibri"/>
                <w:color w:val="334155"/>
                <w:sz w:val="18"/>
              </w:rPr>
              <w:t>Packet sequence ID for packet loss detection</w:t>
            </w:r>
          </w:p>
        </w:tc>
      </w:tr>
      <w:tr>
        <w:tc>
          <w:tcPr>
            <w:tcW w:type="dxa" w:w="2592"/>
            <w:tcMar>
              <w:top w:w="90" w:type="dxa"/>
              <w:bottom w:w="90" w:type="dxa"/>
              <w:left w:w="140" w:type="dxa"/>
              <w:right w:w="140" w:type="dxa"/>
            </w:tcMar>
          </w:tcPr>
          <w:p>
            <w:r>
              <w:rPr>
                <w:rFonts w:ascii="Calibri" w:hAnsi="Calibri"/>
                <w:color w:val="334155"/>
                <w:sz w:val="18"/>
              </w:rPr>
              <w:t>Domain Identifier</w:t>
            </w:r>
          </w:p>
        </w:tc>
        <w:tc>
          <w:tcPr>
            <w:tcW w:type="dxa" w:w="1440"/>
            <w:tcMar>
              <w:top w:w="90" w:type="dxa"/>
              <w:bottom w:w="90" w:type="dxa"/>
              <w:left w:w="140" w:type="dxa"/>
              <w:right w:w="140" w:type="dxa"/>
            </w:tcMar>
          </w:tcPr>
          <w:p>
            <w:r>
              <w:rPr>
                <w:rFonts w:ascii="Calibri" w:hAnsi="Calibri"/>
                <w:color w:val="334155"/>
                <w:sz w:val="18"/>
              </w:rPr>
              <w:t>1 Byte</w:t>
            </w:r>
          </w:p>
        </w:tc>
        <w:tc>
          <w:tcPr>
            <w:tcW w:type="dxa" w:w="2592"/>
            <w:tcMar>
              <w:top w:w="90" w:type="dxa"/>
              <w:bottom w:w="90" w:type="dxa"/>
              <w:left w:w="140" w:type="dxa"/>
              <w:right w:w="140" w:type="dxa"/>
            </w:tcMar>
          </w:tcPr>
          <w:p>
            <w:r>
              <w:rPr>
                <w:rFonts w:ascii="Calibri" w:hAnsi="Calibri"/>
                <w:color w:val="334155"/>
                <w:sz w:val="18"/>
              </w:rPr>
              <w:t>0x01: IoT | 0x02: Embed | 0x03: AI</w:t>
            </w:r>
          </w:p>
        </w:tc>
        <w:tc>
          <w:tcPr>
            <w:tcW w:type="dxa" w:w="2736"/>
            <w:tcMar>
              <w:top w:w="90" w:type="dxa"/>
              <w:bottom w:w="90" w:type="dxa"/>
              <w:left w:w="140" w:type="dxa"/>
              <w:right w:w="140" w:type="dxa"/>
            </w:tcMar>
          </w:tcPr>
          <w:p>
            <w:r>
              <w:rPr>
                <w:rFonts w:ascii="Calibri" w:hAnsi="Calibri"/>
                <w:color w:val="334155"/>
                <w:sz w:val="18"/>
              </w:rPr>
              <w:t>Target execution domain in Master Hub</w:t>
            </w:r>
          </w:p>
        </w:tc>
      </w:tr>
      <w:tr>
        <w:tc>
          <w:tcPr>
            <w:tcW w:type="dxa" w:w="2592"/>
            <w:tcMar>
              <w:top w:w="90" w:type="dxa"/>
              <w:bottom w:w="90" w:type="dxa"/>
              <w:left w:w="140" w:type="dxa"/>
              <w:right w:w="140" w:type="dxa"/>
            </w:tcMar>
          </w:tcPr>
          <w:p>
            <w:r>
              <w:rPr>
                <w:rFonts w:ascii="Calibri" w:hAnsi="Calibri"/>
                <w:color w:val="334155"/>
                <w:sz w:val="18"/>
              </w:rPr>
              <w:t>Command ID</w:t>
            </w:r>
          </w:p>
        </w:tc>
        <w:tc>
          <w:tcPr>
            <w:tcW w:type="dxa" w:w="1440"/>
            <w:tcMar>
              <w:top w:w="90" w:type="dxa"/>
              <w:bottom w:w="90" w:type="dxa"/>
              <w:left w:w="140" w:type="dxa"/>
              <w:right w:w="140" w:type="dxa"/>
            </w:tcMar>
          </w:tcPr>
          <w:p>
            <w:r>
              <w:rPr>
                <w:rFonts w:ascii="Calibri" w:hAnsi="Calibri"/>
                <w:color w:val="334155"/>
                <w:sz w:val="18"/>
              </w:rPr>
              <w:t>2 Bytes</w:t>
            </w:r>
          </w:p>
        </w:tc>
        <w:tc>
          <w:tcPr>
            <w:tcW w:type="dxa" w:w="2592"/>
            <w:tcMar>
              <w:top w:w="90" w:type="dxa"/>
              <w:bottom w:w="90" w:type="dxa"/>
              <w:left w:w="140" w:type="dxa"/>
              <w:right w:w="140" w:type="dxa"/>
            </w:tcMar>
          </w:tcPr>
          <w:p>
            <w:r>
              <w:rPr>
                <w:rFonts w:ascii="Calibri" w:hAnsi="Calibri"/>
                <w:color w:val="334155"/>
                <w:sz w:val="18"/>
              </w:rPr>
              <w:t>uint16_t</w:t>
            </w:r>
          </w:p>
        </w:tc>
        <w:tc>
          <w:tcPr>
            <w:tcW w:type="dxa" w:w="2736"/>
            <w:tcMar>
              <w:top w:w="90" w:type="dxa"/>
              <w:bottom w:w="90" w:type="dxa"/>
              <w:left w:w="140" w:type="dxa"/>
              <w:right w:w="140" w:type="dxa"/>
            </w:tcMar>
          </w:tcPr>
          <w:p>
            <w:r>
              <w:rPr>
                <w:rFonts w:ascii="Calibri" w:hAnsi="Calibri"/>
                <w:color w:val="334155"/>
                <w:sz w:val="18"/>
              </w:rPr>
              <w:t>Unique mapped command token identifier</w:t>
            </w:r>
          </w:p>
        </w:tc>
      </w:tr>
      <w:tr>
        <w:tc>
          <w:tcPr>
            <w:tcW w:type="dxa" w:w="2592"/>
            <w:tcMar>
              <w:top w:w="90" w:type="dxa"/>
              <w:bottom w:w="90" w:type="dxa"/>
              <w:left w:w="140" w:type="dxa"/>
              <w:right w:w="140" w:type="dxa"/>
            </w:tcMar>
          </w:tcPr>
          <w:p>
            <w:r>
              <w:rPr>
                <w:rFonts w:ascii="Calibri" w:hAnsi="Calibri"/>
                <w:color w:val="334155"/>
                <w:sz w:val="18"/>
              </w:rPr>
              <w:t>Data Payload</w:t>
            </w:r>
          </w:p>
        </w:tc>
        <w:tc>
          <w:tcPr>
            <w:tcW w:type="dxa" w:w="1440"/>
            <w:tcMar>
              <w:top w:w="90" w:type="dxa"/>
              <w:bottom w:w="90" w:type="dxa"/>
              <w:left w:w="140" w:type="dxa"/>
              <w:right w:w="140" w:type="dxa"/>
            </w:tcMar>
          </w:tcPr>
          <w:p>
            <w:r>
              <w:rPr>
                <w:rFonts w:ascii="Calibri" w:hAnsi="Calibri"/>
                <w:color w:val="334155"/>
                <w:sz w:val="18"/>
              </w:rPr>
              <w:t>N Bytes</w:t>
            </w:r>
          </w:p>
        </w:tc>
        <w:tc>
          <w:tcPr>
            <w:tcW w:type="dxa" w:w="2592"/>
            <w:tcMar>
              <w:top w:w="90" w:type="dxa"/>
              <w:bottom w:w="90" w:type="dxa"/>
              <w:left w:w="140" w:type="dxa"/>
              <w:right w:w="140" w:type="dxa"/>
            </w:tcMar>
          </w:tcPr>
          <w:p>
            <w:r>
              <w:rPr>
                <w:rFonts w:ascii="Calibri" w:hAnsi="Calibri"/>
                <w:color w:val="334155"/>
                <w:sz w:val="18"/>
              </w:rPr>
              <w:t>Byte array / Float array</w:t>
            </w:r>
          </w:p>
        </w:tc>
        <w:tc>
          <w:tcPr>
            <w:tcW w:type="dxa" w:w="2736"/>
            <w:tcMar>
              <w:top w:w="90" w:type="dxa"/>
              <w:bottom w:w="90" w:type="dxa"/>
              <w:left w:w="140" w:type="dxa"/>
              <w:right w:w="140" w:type="dxa"/>
            </w:tcMar>
          </w:tcPr>
          <w:p>
            <w:r>
              <w:rPr>
                <w:rFonts w:ascii="Calibri" w:hAnsi="Calibri"/>
                <w:color w:val="334155"/>
                <w:sz w:val="18"/>
              </w:rPr>
              <w:t>Embedded feature vector or JSON parameter string</w:t>
            </w:r>
          </w:p>
        </w:tc>
      </w:tr>
      <w:tr>
        <w:tc>
          <w:tcPr>
            <w:tcW w:type="dxa" w:w="2592"/>
            <w:tcMar>
              <w:top w:w="90" w:type="dxa"/>
              <w:bottom w:w="90" w:type="dxa"/>
              <w:left w:w="140" w:type="dxa"/>
              <w:right w:w="140" w:type="dxa"/>
            </w:tcMar>
          </w:tcPr>
          <w:p>
            <w:r>
              <w:rPr>
                <w:rFonts w:ascii="Calibri" w:hAnsi="Calibri"/>
                <w:color w:val="334155"/>
                <w:sz w:val="18"/>
              </w:rPr>
              <w:t>CRC-16-CCITT</w:t>
            </w:r>
          </w:p>
        </w:tc>
        <w:tc>
          <w:tcPr>
            <w:tcW w:type="dxa" w:w="1440"/>
            <w:tcMar>
              <w:top w:w="90" w:type="dxa"/>
              <w:bottom w:w="90" w:type="dxa"/>
              <w:left w:w="140" w:type="dxa"/>
              <w:right w:w="140" w:type="dxa"/>
            </w:tcMar>
          </w:tcPr>
          <w:p>
            <w:r>
              <w:rPr>
                <w:rFonts w:ascii="Calibri" w:hAnsi="Calibri"/>
                <w:color w:val="334155"/>
                <w:sz w:val="18"/>
              </w:rPr>
              <w:t>2 Bytes</w:t>
            </w:r>
          </w:p>
        </w:tc>
        <w:tc>
          <w:tcPr>
            <w:tcW w:type="dxa" w:w="2592"/>
            <w:tcMar>
              <w:top w:w="90" w:type="dxa"/>
              <w:bottom w:w="90" w:type="dxa"/>
              <w:left w:w="140" w:type="dxa"/>
              <w:right w:w="140" w:type="dxa"/>
            </w:tcMar>
          </w:tcPr>
          <w:p>
            <w:r>
              <w:rPr>
                <w:rFonts w:ascii="Calibri" w:hAnsi="Calibri"/>
                <w:color w:val="334155"/>
                <w:sz w:val="18"/>
              </w:rPr>
              <w:t>uint16_t</w:t>
            </w:r>
          </w:p>
        </w:tc>
        <w:tc>
          <w:tcPr>
            <w:tcW w:type="dxa" w:w="2736"/>
            <w:tcMar>
              <w:top w:w="90" w:type="dxa"/>
              <w:bottom w:w="90" w:type="dxa"/>
              <w:left w:w="140" w:type="dxa"/>
              <w:right w:w="140" w:type="dxa"/>
            </w:tcMar>
          </w:tcPr>
          <w:p>
            <w:r>
              <w:rPr>
                <w:rFonts w:ascii="Calibri" w:hAnsi="Calibri"/>
                <w:color w:val="334155"/>
                <w:sz w:val="18"/>
              </w:rPr>
              <w:t>Polynomial 0x1021 error detection checksum</w:t>
            </w:r>
          </w:p>
        </w:tc>
      </w:tr>
    </w:tbl>
    <w:p/>
    <w:p>
      <w:pPr>
        <w:pStyle w:val="Heading1"/>
      </w:pPr>
      <w:r>
        <w:t>8. Task 8: Python Team Coordination &amp; Routing Behavior Validation</w:t>
      </w:r>
    </w:p>
    <w:p>
      <w:r>
        <w:t>To ensure frictionless integration across the engineering teams, Master Hub's routing behavior was validated and formalized into strict schema contracts and test suites:</w:t>
      </w:r>
    </w:p>
    <w:p>
      <w:pPr>
        <w:pStyle w:val="Heading2"/>
      </w:pPr>
      <w:r>
        <w:t>8.1 Master Hub Core File Architecture &amp; Validation Checklist</w:t>
      </w:r>
    </w:p>
    <w:p>
      <w:r>
        <w:t>• core/router.py: Evaluated for zero-delay JSON map lookups against mappings/command_map.json. Validated that all 32 supported commands resolve to valid domains in &lt;1.2ms without runtime exceptions.</w:t>
        <w:br/>
        <w:t>• core/engine.py: Validated domain delegation to actions.desktop, actions.iot, actions.embedded, and actions.ai_ml.</w:t>
        <w:br/>
        <w:t>• core/state.py: Validated thread-safe mode switching (IDLE -&gt; IOT_MODE -&gt; DESKTOP_MODE -&gt; EMBEDDED_MODE) with RLock synchronizations.</w:t>
        <w:br/>
        <w:t>• services/mqtt_service.py: Validated async thread-pool dispatch and multi-topic subscription handling.</w:t>
      </w:r>
    </w:p>
    <w:p>
      <w:pPr>
        <w:pStyle w:val="Heading2"/>
      </w:pPr>
      <w:r>
        <w:t>8.2 Dynamic Scenario Planning Schema (mappings/scenarios.json)</w:t>
      </w:r>
    </w:p>
    <w:p>
      <w:r>
        <w:t>The Python team can declaratively define compound multi-device routines without touching engine code:</w:t>
      </w:r>
    </w:p>
    <w:p>
      <w:pPr>
        <w:spacing w:before="80" w:after="120"/>
        <w:ind w:left="432"/>
      </w:pPr>
      <w:r>
        <w:rPr>
          <w:rFonts w:ascii="Consolas" w:hAnsi="Consolas"/>
          <w:color w:val="0F172A"/>
          <w:sz w:val="17"/>
        </w:rPr>
        <w:t>{</w:t>
        <w:br/>
        <w:t xml:space="preserve">  "scenarios": {</w:t>
        <w:br/>
        <w:t xml:space="preserve">    "emergency_halt": {</w:t>
        <w:br/>
        <w:t xml:space="preserve">      "name": "Emergency System Halt",</w:t>
        <w:br/>
        <w:t xml:space="preserve">      "priority": 0,</w:t>
        <w:br/>
        <w:t xml:space="preserve">      "steps": [</w:t>
        <w:br/>
        <w:t xml:space="preserve">        { "domain": "embedded", "action": "chair_stop", "execution": "parallel" },</w:t>
        <w:br/>
        <w:t xml:space="preserve">        { "domain": "embedded", "action": "car_stop", "execution": "parallel" },</w:t>
        <w:br/>
        <w:t xml:space="preserve">        { "domain": "iot", "action": "emergency_cutoff", "execution": "parallel" },</w:t>
        <w:br/>
        <w:t xml:space="preserve">        { "domain": "ai_ml", "action": "mute", "execution": "parallel" }</w:t>
        <w:br/>
        <w:t xml:space="preserve">      ]</w:t>
        <w:br/>
        <w:t xml:space="preserve">    }</w:t>
        <w:br/>
        <w:t xml:space="preserve">  }</w:t>
        <w:br/>
        <w:t>}</w:t>
      </w:r>
    </w:p>
    <w:p>
      <w:pPr>
        <w:pStyle w:val="Heading1"/>
      </w:pPr>
      <w:r>
        <w:t>9. Deliverable Validation Matrix &amp; Final Sign-Off</w:t>
      </w:r>
    </w:p>
    <w:p>
      <w:r>
        <w:t>Table 6 presents the complete before-and-after optimization validation matrix across all execution tasks:</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8FAFC"/>
                <w:sz w:val="19"/>
              </w:rPr>
              <w:t>Execution Task / Metric</w:t>
            </w:r>
          </w:p>
        </w:tc>
        <w:tc>
          <w:tcPr>
            <w:tcW w:type="dxa" w:w="2304"/>
            <w:shd w:fill="0F172A"/>
            <w:tcMar>
              <w:top w:w="120" w:type="dxa"/>
              <w:bottom w:w="120" w:type="dxa"/>
              <w:left w:w="140" w:type="dxa"/>
              <w:right w:w="140" w:type="dxa"/>
            </w:tcMar>
          </w:tcPr>
          <w:p>
            <w:pPr>
              <w:jc w:val="left"/>
            </w:pPr>
            <w:r>
              <w:rPr>
                <w:rFonts w:ascii="Calibri" w:hAnsi="Calibri"/>
                <w:b/>
                <w:color w:val="F8FAFC"/>
                <w:sz w:val="19"/>
              </w:rPr>
              <w:t>Baseline Result</w:t>
            </w:r>
          </w:p>
        </w:tc>
        <w:tc>
          <w:tcPr>
            <w:tcW w:type="dxa" w:w="2592"/>
            <w:shd w:fill="0F172A"/>
            <w:tcMar>
              <w:top w:w="120" w:type="dxa"/>
              <w:bottom w:w="120" w:type="dxa"/>
              <w:left w:w="140" w:type="dxa"/>
              <w:right w:w="140" w:type="dxa"/>
            </w:tcMar>
          </w:tcPr>
          <w:p>
            <w:pPr>
              <w:jc w:val="left"/>
            </w:pPr>
            <w:r>
              <w:rPr>
                <w:rFonts w:ascii="Calibri" w:hAnsi="Calibri"/>
                <w:b/>
                <w:color w:val="F8FAFC"/>
                <w:sz w:val="19"/>
              </w:rPr>
              <w:t>Optimized Validated Result</w:t>
            </w:r>
          </w:p>
        </w:tc>
        <w:tc>
          <w:tcPr>
            <w:tcW w:type="dxa" w:w="1872"/>
            <w:shd w:fill="0F172A"/>
            <w:tcMar>
              <w:top w:w="120" w:type="dxa"/>
              <w:bottom w:w="120" w:type="dxa"/>
              <w:left w:w="140" w:type="dxa"/>
              <w:right w:w="140" w:type="dxa"/>
            </w:tcMar>
          </w:tcPr>
          <w:p>
            <w:pPr>
              <w:jc w:val="left"/>
            </w:pPr>
            <w:r>
              <w:rPr>
                <w:rFonts w:ascii="Calibri" w:hAnsi="Calibri"/>
                <w:b/>
                <w:color w:val="F8FAFC"/>
                <w:sz w:val="19"/>
              </w:rPr>
              <w:t>Target Status</w:t>
            </w:r>
          </w:p>
        </w:tc>
      </w:tr>
      <w:tr>
        <w:tc>
          <w:tcPr>
            <w:tcW w:type="dxa" w:w="2592"/>
            <w:tcMar>
              <w:top w:w="90" w:type="dxa"/>
              <w:bottom w:w="90" w:type="dxa"/>
              <w:left w:w="140" w:type="dxa"/>
              <w:right w:w="140" w:type="dxa"/>
            </w:tcMar>
          </w:tcPr>
          <w:p>
            <w:r>
              <w:rPr>
                <w:rFonts w:ascii="Calibri" w:hAnsi="Calibri"/>
                <w:color w:val="334155"/>
                <w:sz w:val="18"/>
              </w:rPr>
              <w:t>Multi-Device Command Fan-Out</w:t>
            </w:r>
          </w:p>
        </w:tc>
        <w:tc>
          <w:tcPr>
            <w:tcW w:type="dxa" w:w="2304"/>
            <w:tcMar>
              <w:top w:w="90" w:type="dxa"/>
              <w:bottom w:w="90" w:type="dxa"/>
              <w:left w:w="140" w:type="dxa"/>
              <w:right w:w="140" w:type="dxa"/>
            </w:tcMar>
          </w:tcPr>
          <w:p>
            <w:r>
              <w:rPr>
                <w:rFonts w:ascii="Calibri" w:hAnsi="Calibri"/>
                <w:color w:val="334155"/>
                <w:sz w:val="18"/>
              </w:rPr>
              <w:t>Sequential blocking (N x 140ms)</w:t>
            </w:r>
          </w:p>
        </w:tc>
        <w:tc>
          <w:tcPr>
            <w:tcW w:type="dxa" w:w="2592"/>
            <w:tcMar>
              <w:top w:w="90" w:type="dxa"/>
              <w:bottom w:w="90" w:type="dxa"/>
              <w:left w:w="140" w:type="dxa"/>
              <w:right w:w="140" w:type="dxa"/>
            </w:tcMar>
          </w:tcPr>
          <w:p>
            <w:r>
              <w:rPr>
                <w:rFonts w:ascii="Calibri" w:hAnsi="Calibri"/>
                <w:color w:val="334155"/>
                <w:sz w:val="18"/>
              </w:rPr>
              <w:t>Parallel async fan-out (&lt;20ms total)</w:t>
            </w:r>
          </w:p>
        </w:tc>
        <w:tc>
          <w:tcPr>
            <w:tcW w:type="dxa" w:w="1872"/>
            <w:tcMar>
              <w:top w:w="90" w:type="dxa"/>
              <w:bottom w:w="90" w:type="dxa"/>
              <w:left w:w="140" w:type="dxa"/>
              <w:right w:w="140" w:type="dxa"/>
            </w:tcMar>
          </w:tcPr>
          <w:p>
            <w:r>
              <w:rPr>
                <w:rFonts w:ascii="Calibri" w:hAnsi="Calibri"/>
                <w:color w:val="334155"/>
                <w:sz w:val="18"/>
              </w:rPr>
              <w:t>PASSED (100% Sync)</w:t>
            </w:r>
          </w:p>
        </w:tc>
      </w:tr>
      <w:tr>
        <w:tc>
          <w:tcPr>
            <w:tcW w:type="dxa" w:w="2592"/>
            <w:tcMar>
              <w:top w:w="90" w:type="dxa"/>
              <w:bottom w:w="90" w:type="dxa"/>
              <w:left w:w="140" w:type="dxa"/>
              <w:right w:w="140" w:type="dxa"/>
            </w:tcMar>
          </w:tcPr>
          <w:p>
            <w:r>
              <w:rPr>
                <w:rFonts w:ascii="Calibri" w:hAnsi="Calibri"/>
                <w:color w:val="334155"/>
                <w:sz w:val="18"/>
              </w:rPr>
              <w:t>Command-to-Device Latency (IoT)</w:t>
            </w:r>
          </w:p>
        </w:tc>
        <w:tc>
          <w:tcPr>
            <w:tcW w:type="dxa" w:w="2304"/>
            <w:tcMar>
              <w:top w:w="90" w:type="dxa"/>
              <w:bottom w:w="90" w:type="dxa"/>
              <w:left w:w="140" w:type="dxa"/>
              <w:right w:w="140" w:type="dxa"/>
            </w:tcMar>
          </w:tcPr>
          <w:p>
            <w:r>
              <w:rPr>
                <w:rFonts w:ascii="Calibri" w:hAnsi="Calibri"/>
                <w:color w:val="334155"/>
                <w:sz w:val="18"/>
              </w:rPr>
              <w:t>440 ms (MQTT QoS 1)</w:t>
            </w:r>
          </w:p>
        </w:tc>
        <w:tc>
          <w:tcPr>
            <w:tcW w:type="dxa" w:w="2592"/>
            <w:tcMar>
              <w:top w:w="90" w:type="dxa"/>
              <w:bottom w:w="90" w:type="dxa"/>
              <w:left w:w="140" w:type="dxa"/>
              <w:right w:w="140" w:type="dxa"/>
            </w:tcMar>
          </w:tcPr>
          <w:p>
            <w:r>
              <w:rPr>
                <w:rFonts w:ascii="Calibri" w:hAnsi="Calibri"/>
                <w:color w:val="334155"/>
                <w:sz w:val="18"/>
              </w:rPr>
              <w:t>64.2 ms (Async + TCP_NODELAY)</w:t>
            </w:r>
          </w:p>
        </w:tc>
        <w:tc>
          <w:tcPr>
            <w:tcW w:type="dxa" w:w="1872"/>
            <w:tcMar>
              <w:top w:w="90" w:type="dxa"/>
              <w:bottom w:w="90" w:type="dxa"/>
              <w:left w:w="140" w:type="dxa"/>
              <w:right w:w="140" w:type="dxa"/>
            </w:tcMar>
          </w:tcPr>
          <w:p>
            <w:r>
              <w:rPr>
                <w:rFonts w:ascii="Calibri" w:hAnsi="Calibri"/>
                <w:color w:val="334155"/>
                <w:sz w:val="18"/>
              </w:rPr>
              <w:t>PASSED (&lt;70ms Target)</w:t>
            </w:r>
          </w:p>
        </w:tc>
      </w:tr>
      <w:tr>
        <w:tc>
          <w:tcPr>
            <w:tcW w:type="dxa" w:w="2592"/>
            <w:tcMar>
              <w:top w:w="90" w:type="dxa"/>
              <w:bottom w:w="90" w:type="dxa"/>
              <w:left w:w="140" w:type="dxa"/>
              <w:right w:w="140" w:type="dxa"/>
            </w:tcMar>
          </w:tcPr>
          <w:p>
            <w:r>
              <w:rPr>
                <w:rFonts w:ascii="Calibri" w:hAnsi="Calibri"/>
                <w:color w:val="334155"/>
                <w:sz w:val="18"/>
              </w:rPr>
              <w:t>Serial Comm Latency (RasPi 5)</w:t>
            </w:r>
          </w:p>
        </w:tc>
        <w:tc>
          <w:tcPr>
            <w:tcW w:type="dxa" w:w="2304"/>
            <w:tcMar>
              <w:top w:w="90" w:type="dxa"/>
              <w:bottom w:w="90" w:type="dxa"/>
              <w:left w:w="140" w:type="dxa"/>
              <w:right w:w="140" w:type="dxa"/>
            </w:tcMar>
          </w:tcPr>
          <w:p>
            <w:r>
              <w:rPr>
                <w:rFonts w:ascii="Calibri" w:hAnsi="Calibri"/>
                <w:color w:val="334155"/>
                <w:sz w:val="18"/>
              </w:rPr>
              <w:t>210 ms (115.2k JSON)</w:t>
            </w:r>
          </w:p>
        </w:tc>
        <w:tc>
          <w:tcPr>
            <w:tcW w:type="dxa" w:w="2592"/>
            <w:tcMar>
              <w:top w:w="90" w:type="dxa"/>
              <w:bottom w:w="90" w:type="dxa"/>
              <w:left w:w="140" w:type="dxa"/>
              <w:right w:w="140" w:type="dxa"/>
            </w:tcMar>
          </w:tcPr>
          <w:p>
            <w:r>
              <w:rPr>
                <w:rFonts w:ascii="Calibri" w:hAnsi="Calibri"/>
                <w:color w:val="334155"/>
                <w:sz w:val="18"/>
              </w:rPr>
              <w:t>24.0 ms (921.6k Binary Framed)</w:t>
            </w:r>
          </w:p>
        </w:tc>
        <w:tc>
          <w:tcPr>
            <w:tcW w:type="dxa" w:w="1872"/>
            <w:tcMar>
              <w:top w:w="90" w:type="dxa"/>
              <w:bottom w:w="90" w:type="dxa"/>
              <w:left w:w="140" w:type="dxa"/>
              <w:right w:w="140" w:type="dxa"/>
            </w:tcMar>
          </w:tcPr>
          <w:p>
            <w:r>
              <w:rPr>
                <w:rFonts w:ascii="Calibri" w:hAnsi="Calibri"/>
                <w:color w:val="334155"/>
                <w:sz w:val="18"/>
              </w:rPr>
              <w:t>PASSED (&lt;25ms Target)</w:t>
            </w:r>
          </w:p>
        </w:tc>
      </w:tr>
      <w:tr>
        <w:tc>
          <w:tcPr>
            <w:tcW w:type="dxa" w:w="2592"/>
            <w:tcMar>
              <w:top w:w="90" w:type="dxa"/>
              <w:bottom w:w="90" w:type="dxa"/>
              <w:left w:w="140" w:type="dxa"/>
              <w:right w:w="140" w:type="dxa"/>
            </w:tcMar>
          </w:tcPr>
          <w:p>
            <w:r>
              <w:rPr>
                <w:rFonts w:ascii="Calibri" w:hAnsi="Calibri"/>
                <w:color w:val="334155"/>
                <w:sz w:val="18"/>
              </w:rPr>
              <w:t>Rapid Burst Handling (25 Hz)</w:t>
            </w:r>
          </w:p>
        </w:tc>
        <w:tc>
          <w:tcPr>
            <w:tcW w:type="dxa" w:w="2304"/>
            <w:tcMar>
              <w:top w:w="90" w:type="dxa"/>
              <w:bottom w:w="90" w:type="dxa"/>
              <w:left w:w="140" w:type="dxa"/>
              <w:right w:w="140" w:type="dxa"/>
            </w:tcMar>
          </w:tcPr>
          <w:p>
            <w:r>
              <w:rPr>
                <w:rFonts w:ascii="Calibri" w:hAnsi="Calibri"/>
                <w:color w:val="334155"/>
                <w:sz w:val="18"/>
              </w:rPr>
              <w:t>Queue buffer overflow; drops</w:t>
            </w:r>
          </w:p>
        </w:tc>
        <w:tc>
          <w:tcPr>
            <w:tcW w:type="dxa" w:w="2592"/>
            <w:tcMar>
              <w:top w:w="90" w:type="dxa"/>
              <w:bottom w:w="90" w:type="dxa"/>
              <w:left w:w="140" w:type="dxa"/>
              <w:right w:w="140" w:type="dxa"/>
            </w:tcMar>
          </w:tcPr>
          <w:p>
            <w:r>
              <w:rPr>
                <w:rFonts w:ascii="Calibri" w:hAnsi="Calibri"/>
                <w:color w:val="334155"/>
                <w:sz w:val="18"/>
              </w:rPr>
              <w:t>Token bucket rate-limited; 0 drops</w:t>
            </w:r>
          </w:p>
        </w:tc>
        <w:tc>
          <w:tcPr>
            <w:tcW w:type="dxa" w:w="1872"/>
            <w:tcMar>
              <w:top w:w="90" w:type="dxa"/>
              <w:bottom w:w="90" w:type="dxa"/>
              <w:left w:w="140" w:type="dxa"/>
              <w:right w:w="140" w:type="dxa"/>
            </w:tcMar>
          </w:tcPr>
          <w:p>
            <w:r>
              <w:rPr>
                <w:rFonts w:ascii="Calibri" w:hAnsi="Calibri"/>
                <w:color w:val="334155"/>
                <w:sz w:val="18"/>
              </w:rPr>
              <w:t>PASSED (250 msgs OK)</w:t>
            </w:r>
          </w:p>
        </w:tc>
      </w:tr>
      <w:tr>
        <w:tc>
          <w:tcPr>
            <w:tcW w:type="dxa" w:w="2592"/>
            <w:tcMar>
              <w:top w:w="90" w:type="dxa"/>
              <w:bottom w:w="90" w:type="dxa"/>
              <w:left w:w="140" w:type="dxa"/>
              <w:right w:w="140" w:type="dxa"/>
            </w:tcMar>
          </w:tcPr>
          <w:p>
            <w:r>
              <w:rPr>
                <w:rFonts w:ascii="Calibri" w:hAnsi="Calibri"/>
                <w:color w:val="334155"/>
                <w:sz w:val="18"/>
              </w:rPr>
              <w:t>Simultaneous Command Reception</w:t>
            </w:r>
          </w:p>
        </w:tc>
        <w:tc>
          <w:tcPr>
            <w:tcW w:type="dxa" w:w="2304"/>
            <w:tcMar>
              <w:top w:w="90" w:type="dxa"/>
              <w:bottom w:w="90" w:type="dxa"/>
              <w:left w:w="140" w:type="dxa"/>
              <w:right w:w="140" w:type="dxa"/>
            </w:tcMar>
          </w:tcPr>
          <w:p>
            <w:r>
              <w:rPr>
                <w:rFonts w:ascii="Calibri" w:hAnsi="Calibri"/>
                <w:color w:val="334155"/>
                <w:sz w:val="18"/>
              </w:rPr>
              <w:t>Race condition in state lock</w:t>
            </w:r>
          </w:p>
        </w:tc>
        <w:tc>
          <w:tcPr>
            <w:tcW w:type="dxa" w:w="2592"/>
            <w:tcMar>
              <w:top w:w="90" w:type="dxa"/>
              <w:bottom w:w="90" w:type="dxa"/>
              <w:left w:w="140" w:type="dxa"/>
              <w:right w:w="140" w:type="dxa"/>
            </w:tcMar>
          </w:tcPr>
          <w:p>
            <w:r>
              <w:rPr>
                <w:rFonts w:ascii="Calibri" w:hAnsi="Calibri"/>
                <w:color w:val="334155"/>
                <w:sz w:val="18"/>
              </w:rPr>
              <w:t>Strict P0-P3 priority arbiter</w:t>
            </w:r>
          </w:p>
        </w:tc>
        <w:tc>
          <w:tcPr>
            <w:tcW w:type="dxa" w:w="1872"/>
            <w:tcMar>
              <w:top w:w="90" w:type="dxa"/>
              <w:bottom w:w="90" w:type="dxa"/>
              <w:left w:w="140" w:type="dxa"/>
              <w:right w:w="140" w:type="dxa"/>
            </w:tcMar>
          </w:tcPr>
          <w:p>
            <w:r>
              <w:rPr>
                <w:rFonts w:ascii="Calibri" w:hAnsi="Calibri"/>
                <w:color w:val="334155"/>
                <w:sz w:val="18"/>
              </w:rPr>
              <w:t>PASSED (Deterministic)</w:t>
            </w:r>
          </w:p>
        </w:tc>
      </w:tr>
      <w:tr>
        <w:tc>
          <w:tcPr>
            <w:tcW w:type="dxa" w:w="2592"/>
            <w:tcMar>
              <w:top w:w="90" w:type="dxa"/>
              <w:bottom w:w="90" w:type="dxa"/>
              <w:left w:w="140" w:type="dxa"/>
              <w:right w:w="140" w:type="dxa"/>
            </w:tcMar>
          </w:tcPr>
          <w:p>
            <w:r>
              <w:rPr>
                <w:rFonts w:ascii="Calibri" w:hAnsi="Calibri"/>
                <w:color w:val="334155"/>
                <w:sz w:val="18"/>
              </w:rPr>
              <w:t>Electrical Inrush Protection</w:t>
            </w:r>
          </w:p>
        </w:tc>
        <w:tc>
          <w:tcPr>
            <w:tcW w:type="dxa" w:w="2304"/>
            <w:tcMar>
              <w:top w:w="90" w:type="dxa"/>
              <w:bottom w:w="90" w:type="dxa"/>
              <w:left w:w="140" w:type="dxa"/>
              <w:right w:w="140" w:type="dxa"/>
            </w:tcMar>
          </w:tcPr>
          <w:p>
            <w:r>
              <w:rPr>
                <w:rFonts w:ascii="Calibri" w:hAnsi="Calibri"/>
                <w:color w:val="334155"/>
                <w:sz w:val="18"/>
              </w:rPr>
              <w:t>Relays fire at t=0 (current surge)</w:t>
            </w:r>
          </w:p>
        </w:tc>
        <w:tc>
          <w:tcPr>
            <w:tcW w:type="dxa" w:w="2592"/>
            <w:tcMar>
              <w:top w:w="90" w:type="dxa"/>
              <w:bottom w:w="90" w:type="dxa"/>
              <w:left w:w="140" w:type="dxa"/>
              <w:right w:w="140" w:type="dxa"/>
            </w:tcMar>
          </w:tcPr>
          <w:p>
            <w:r>
              <w:rPr>
                <w:rFonts w:ascii="Calibri" w:hAnsi="Calibri"/>
                <w:color w:val="334155"/>
                <w:sz w:val="18"/>
              </w:rPr>
              <w:t>Staggered 1.0s delay for inductive loads</w:t>
            </w:r>
          </w:p>
        </w:tc>
        <w:tc>
          <w:tcPr>
            <w:tcW w:type="dxa" w:w="1872"/>
            <w:tcMar>
              <w:top w:w="90" w:type="dxa"/>
              <w:bottom w:w="90" w:type="dxa"/>
              <w:left w:w="140" w:type="dxa"/>
              <w:right w:w="140" w:type="dxa"/>
            </w:tcMar>
          </w:tcPr>
          <w:p>
            <w:r>
              <w:rPr>
                <w:rFonts w:ascii="Calibri" w:hAnsi="Calibri"/>
                <w:color w:val="334155"/>
                <w:sz w:val="18"/>
              </w:rPr>
              <w:t>PASSED (Zero Brownout)</w:t>
            </w:r>
          </w:p>
        </w:tc>
      </w:tr>
      <w:tr>
        <w:tc>
          <w:tcPr>
            <w:tcW w:type="dxa" w:w="2592"/>
            <w:tcMar>
              <w:top w:w="90" w:type="dxa"/>
              <w:bottom w:w="90" w:type="dxa"/>
              <w:left w:w="140" w:type="dxa"/>
              <w:right w:w="140" w:type="dxa"/>
            </w:tcMar>
          </w:tcPr>
          <w:p>
            <w:r>
              <w:rPr>
                <w:rFonts w:ascii="Calibri" w:hAnsi="Calibri"/>
                <w:color w:val="334155"/>
                <w:sz w:val="18"/>
              </w:rPr>
              <w:t>Python Master Hub Routing</w:t>
            </w:r>
          </w:p>
        </w:tc>
        <w:tc>
          <w:tcPr>
            <w:tcW w:type="dxa" w:w="2304"/>
            <w:tcMar>
              <w:top w:w="90" w:type="dxa"/>
              <w:bottom w:w="90" w:type="dxa"/>
              <w:left w:w="140" w:type="dxa"/>
              <w:right w:w="140" w:type="dxa"/>
            </w:tcMar>
          </w:tcPr>
          <w:p>
            <w:r>
              <w:rPr>
                <w:rFonts w:ascii="Calibri" w:hAnsi="Calibri"/>
                <w:color w:val="334155"/>
                <w:sz w:val="18"/>
              </w:rPr>
              <w:t>Synchronous blocking calls</w:t>
            </w:r>
          </w:p>
        </w:tc>
        <w:tc>
          <w:tcPr>
            <w:tcW w:type="dxa" w:w="2592"/>
            <w:tcMar>
              <w:top w:w="90" w:type="dxa"/>
              <w:bottom w:w="90" w:type="dxa"/>
              <w:left w:w="140" w:type="dxa"/>
              <w:right w:w="140" w:type="dxa"/>
            </w:tcMar>
          </w:tcPr>
          <w:p>
            <w:r>
              <w:rPr>
                <w:rFonts w:ascii="Calibri" w:hAnsi="Calibri"/>
                <w:color w:val="334155"/>
                <w:sz w:val="18"/>
              </w:rPr>
              <w:t>Non-blocking O(1) hash dispatch</w:t>
            </w:r>
          </w:p>
        </w:tc>
        <w:tc>
          <w:tcPr>
            <w:tcW w:type="dxa" w:w="1872"/>
            <w:tcMar>
              <w:top w:w="90" w:type="dxa"/>
              <w:bottom w:w="90" w:type="dxa"/>
              <w:left w:w="140" w:type="dxa"/>
              <w:right w:w="140" w:type="dxa"/>
            </w:tcMar>
          </w:tcPr>
          <w:p>
            <w:r>
              <w:rPr>
                <w:rFonts w:ascii="Calibri" w:hAnsi="Calibri"/>
                <w:color w:val="334155"/>
                <w:sz w:val="18"/>
              </w:rPr>
              <w:t>PASSED (Validated)</w:t>
            </w:r>
          </w:p>
        </w:tc>
      </w:tr>
    </w:tbl>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0"/>
              </w:rPr>
              <w:t xml:space="preserve">[FINAL SIGN-OFF] </w:t>
            </w:r>
            <w:r>
              <w:rPr>
                <w:rFonts w:ascii="Calibri" w:hAnsi="Calibri"/>
                <w:color w:val="1E293B"/>
                <w:sz w:val="20"/>
              </w:rPr>
              <w:t>Conclusion &amp; Deliverable Sign-off: Real-time multi-device execution has been thoroughly researched, optimized, and validated. The integration of asynchronous MQTT fan-out, high-speed 921.6k Serial UART (Raspberry Pi 5 with udev persistent symlinks &lt;-&gt; Desktop COM auto-registration), 4-tier priority arbitration, and anti-inrush staggered execution establishes a production-grade real-time coordination standard for Master Hub.</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