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ki4lkbjos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ua2qndfi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7xr09xbkz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425"/>
        <w:gridCol w:w="4115"/>
        <w:tblGridChange w:id="0">
          <w:tblGrid>
            <w:gridCol w:w="965"/>
            <w:gridCol w:w="342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Registration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User Profile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Login using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Logout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Doctor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Apply for Doctor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Admin Approval of Doctor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View Approved Doctors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Search Doctor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View Appointment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Cancel Appointment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Doctor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View Appointment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Approve/Reject Appointments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Notification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Receive Appointment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Receive Doctor Approval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Admin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Manage Doctors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Monitor System Activities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2g0j4646t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7.0607028753993"/>
        <w:gridCol w:w="2262.7476038338655"/>
        <w:gridCol w:w="6180.191693290734"/>
        <w:tblGridChange w:id="0">
          <w:tblGrid>
            <w:gridCol w:w="917.0607028753993"/>
            <w:gridCol w:w="2262.7476038338655"/>
            <w:gridCol w:w="6180.19169329073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a simple, user-friendly, and responsive interface for patients, doctors, and administrators.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User passwords must be encrypted using bcryptjs, and secure authentication must be implemented using JWT.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consistently perform operations without data loss or system failures.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System responses should be fast, and appointment operations should be processed efficiently.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be accessible online with minimal downtime.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support increasing numbers of users, doctors, and appointments without significant performance degradation.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7vbv8z2p9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functional requirements define the core features required for the Book A Doctor platform, while the non-functional requirements ensure that the system remains secure, reliable, scalable, and user-friendly. Together, these requirements provide a strong foundation for successful system development and deployment.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