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pStyle w:val="Title"/>
      </w:pPr>
      <w:r>
        <w:t>SayBetter AI</w:t>
      </w:r>
    </w:p>
    <w:p>
      <w:pPr>
        <w:keepNext w:val="0"/>
      </w:pPr>
      <w:r>
        <w:rPr>
          <w:b/>
          <w:i w:val="0"/>
          <w:color w:val="C8323F"/>
          <w:sz w:val="40"/>
        </w:rPr>
        <w:t>Feature showcase</w:t>
      </w:r>
    </w:p>
    <w:p>
      <w:pPr>
        <w:keepNext w:val="0"/>
      </w:pPr>
      <w:r>
        <w:rPr>
          <w:b w:val="0"/>
          <w:i w:val="0"/>
          <w:color w:val="4F5370"/>
          <w:sz w:val="24"/>
        </w:rPr>
        <w:t>A speech-practice coach for Tamil and Hindi — every screen, what it does, and how to demo it</w:t>
      </w:r>
    </w:p>
    <w:p/>
    <w:p>
      <w:pPr>
        <w:keepNext w:val="0"/>
        <w:jc w:val="center"/>
      </w:pPr>
      <w:r>
        <w:drawing>
          <wp:inline xmlns:a="http://schemas.openxmlformats.org/drawingml/2006/main" xmlns:pic="http://schemas.openxmlformats.org/drawingml/2006/picture">
            <wp:extent cx="5220000" cy="5273499"/>
            <wp:docPr id="1" name="Picture 1"/>
            <wp:cNvGraphicFramePr>
              <a:graphicFrameLocks noChangeAspect="1"/>
            </wp:cNvGraphicFramePr>
            <a:graphic>
              <a:graphicData uri="http://schemas.openxmlformats.org/drawingml/2006/picture">
                <pic:pic>
                  <pic:nvPicPr>
                    <pic:cNvPr id="0" name="01_landing.png"/>
                    <pic:cNvPicPr/>
                  </pic:nvPicPr>
                  <pic:blipFill>
                    <a:blip r:embed="rId9"/>
                    <a:stretch>
                      <a:fillRect/>
                    </a:stretch>
                  </pic:blipFill>
                  <pic:spPr>
                    <a:xfrm>
                      <a:off x="0" y="0"/>
                      <a:ext cx="5220000" cy="5273499"/>
                    </a:xfrm>
                    <a:prstGeom prst="rect"/>
                  </pic:spPr>
                </pic:pic>
              </a:graphicData>
            </a:graphic>
          </wp:inline>
        </w:drawing>
      </w:r>
    </w:p>
    <w:p>
      <w:pPr>
        <w:keepNext w:val="0"/>
        <w:jc w:val="center"/>
      </w:pPr>
      <w:r>
        <w:rPr>
          <w:b w:val="0"/>
          <w:i w:val="0"/>
          <w:color w:val="4F5370"/>
          <w:sz w:val="20"/>
        </w:rPr>
        <w:t>MVP v0.2 · candy-pop redesign · 24 October 2026</w:t>
      </w:r>
    </w:p>
    <w:p>
      <w:r>
        <w:br w:type="page"/>
      </w:r>
    </w:p>
    <w:p>
      <w:pPr>
        <w:pStyle w:val="Heading1"/>
      </w:pPr>
      <w:r>
        <w:t>At a glance</w:t>
      </w:r>
    </w:p>
    <w:p>
      <w:pPr>
        <w:keepNext w:val="0"/>
      </w:pPr>
      <w:r>
        <w:rPr>
          <w:b w:val="0"/>
          <w:i w:val="0"/>
        </w:rPr>
        <w:t>A learner says a word. SayBetter checks the one sound that matters, tells them which sound it actually heard (“We heard स instead of श”), shows the tongue and lips for both sounds side by side, gives one specific tip, and moves their plan up or back based on saved results. It supports practice; it does not diagnose or replace a speech-language therapist.</w:t>
      </w:r>
    </w:p>
    <w:tbl>
      <w:tblPr>
        <w:tblStyle w:val="TableGrid"/>
        <w:tblW w:type="auto" w:w="0"/>
        <w:jc w:val="center"/>
        <w:tblLook w:firstColumn="1" w:firstRow="1" w:lastColumn="0" w:lastRow="0" w:noHBand="0" w:noVBand="1" w:val="04A0"/>
      </w:tblPr>
      <w:tblGrid>
        <w:gridCol w:w="4819"/>
        <w:gridCol w:w="4819"/>
      </w:tblGrid>
      <w:tr>
        <w:tc>
          <w:tcPr>
            <w:tcW w:type="dxa" w:w="2381"/>
            <w:shd w:val="clear" w:color="auto" w:fill="FFD93D"/>
          </w:tcPr>
          <w:p>
            <w:pPr>
              <w:keepNext/>
              <w:spacing w:after="20"/>
            </w:pPr>
            <w:r>
              <w:rPr>
                <w:sz w:val="19"/>
              </w:rPr>
            </w:r>
            <w:r>
              <w:rPr>
                <w:b/>
                <w:sz w:val="19"/>
              </w:rPr>
              <w:t>What</w:t>
            </w:r>
          </w:p>
        </w:tc>
        <w:tc>
          <w:tcPr>
            <w:tcW w:type="dxa" w:w="7257"/>
            <w:shd w:val="clear" w:color="auto" w:fill="FFD93D"/>
          </w:tcPr>
          <w:p>
            <w:pPr>
              <w:keepNext/>
              <w:spacing w:after="20"/>
            </w:pPr>
            <w:r>
              <w:rPr>
                <w:sz w:val="19"/>
              </w:rPr>
            </w:r>
            <w:r>
              <w:rPr>
                <w:b/>
                <w:sz w:val="19"/>
              </w:rPr>
              <w:t>How</w:t>
            </w:r>
          </w:p>
        </w:tc>
      </w:tr>
      <w:tr>
        <w:tc>
          <w:tcPr>
            <w:tcW w:type="dxa" w:w="2381"/>
          </w:tcPr>
          <w:p>
            <w:pPr>
              <w:spacing w:after="20"/>
            </w:pPr>
            <w:r>
              <w:rPr>
                <w:sz w:val="19"/>
              </w:rPr>
            </w:r>
            <w:r>
              <w:rPr>
                <w:sz w:val="19"/>
              </w:rPr>
              <w:t>Languages and sounds</w:t>
            </w:r>
          </w:p>
        </w:tc>
        <w:tc>
          <w:tcPr>
            <w:tcW w:type="dxa" w:w="7257"/>
          </w:tcPr>
          <w:p>
            <w:pPr>
              <w:spacing w:after="20"/>
            </w:pPr>
            <w:r>
              <w:rPr>
                <w:sz w:val="19"/>
              </w:rPr>
            </w:r>
            <w:r>
              <w:rPr>
                <w:sz w:val="19"/>
              </w:rPr>
              <w:t>Tamil ழ ள ர · Hindi र श ख — each with 5 levels from single sounds to everyday sentences</w:t>
            </w:r>
          </w:p>
        </w:tc>
      </w:tr>
      <w:tr>
        <w:tc>
          <w:tcPr>
            <w:tcW w:type="dxa" w:w="2381"/>
            <w:shd w:val="clear" w:color="auto" w:fill="F7F5FB"/>
          </w:tcPr>
          <w:p>
            <w:pPr>
              <w:spacing w:after="20"/>
            </w:pPr>
            <w:r>
              <w:rPr>
                <w:sz w:val="19"/>
              </w:rPr>
            </w:r>
            <w:r>
              <w:rPr>
                <w:sz w:val="19"/>
              </w:rPr>
              <w:t>Three checks per attempt</w:t>
            </w:r>
          </w:p>
        </w:tc>
        <w:tc>
          <w:tcPr>
            <w:tcW w:type="dxa" w:w="7257"/>
            <w:shd w:val="clear" w:color="auto" w:fill="F7F5FB"/>
          </w:tcPr>
          <w:p>
            <w:pPr>
              <w:spacing w:after="20"/>
            </w:pPr>
            <w:r>
              <w:rPr>
                <w:sz w:val="19"/>
              </w:rPr>
            </w:r>
            <w:r>
              <w:rPr>
                <w:sz w:val="19"/>
              </w:rPr>
              <w:t>Sarvam speech-to-text · a phoneme model on the computer · comparison with 6 Sarvam voices saying the word correctly and with each mix-up</w:t>
            </w:r>
          </w:p>
        </w:tc>
      </w:tr>
      <w:tr>
        <w:tc>
          <w:tcPr>
            <w:tcW w:type="dxa" w:w="2381"/>
          </w:tcPr>
          <w:p>
            <w:pPr>
              <w:spacing w:after="20"/>
            </w:pPr>
            <w:r>
              <w:rPr>
                <w:sz w:val="19"/>
              </w:rPr>
            </w:r>
            <w:r>
              <w:rPr>
                <w:sz w:val="19"/>
              </w:rPr>
              <w:t>Honest confidence</w:t>
            </w:r>
          </w:p>
        </w:tc>
        <w:tc>
          <w:tcPr>
            <w:tcW w:type="dxa" w:w="7257"/>
          </w:tcPr>
          <w:p>
            <w:pPr>
              <w:spacing w:after="20"/>
            </w:pPr>
            <w:r>
              <w:rPr>
                <w:sz w:val="19"/>
              </w:rPr>
            </w:r>
            <w:r>
              <w:rPr>
                <w:sz w:val="19"/>
              </w:rPr>
              <w:t>Each check counts in proportion to its measured accuracy for that sound; below 55% the app says “not sure”</w:t>
            </w:r>
          </w:p>
        </w:tc>
      </w:tr>
      <w:tr>
        <w:tc>
          <w:tcPr>
            <w:tcW w:type="dxa" w:w="2381"/>
            <w:shd w:val="clear" w:color="auto" w:fill="F7F5FB"/>
          </w:tcPr>
          <w:p>
            <w:pPr>
              <w:spacing w:after="20"/>
            </w:pPr>
            <w:r>
              <w:rPr>
                <w:sz w:val="19"/>
              </w:rPr>
            </w:r>
            <w:r>
              <w:rPr>
                <w:sz w:val="19"/>
              </w:rPr>
              <w:t>Adaptive plan</w:t>
            </w:r>
          </w:p>
        </w:tc>
        <w:tc>
          <w:tcPr>
            <w:tcW w:type="dxa" w:w="7257"/>
            <w:shd w:val="clear" w:color="auto" w:fill="F7F5FB"/>
          </w:tcPr>
          <w:p>
            <w:pPr>
              <w:spacing w:after="20"/>
            </w:pPr>
            <w:r>
              <w:rPr>
                <w:sz w:val="19"/>
              </w:rPr>
            </w:r>
            <w:r>
              <w:rPr>
                <w:sz w:val="19"/>
              </w:rPr>
              <w:t>3 of last 4 on target → level up · 3 of 4 mixed up → level down · stuck at level 1 → suggests a therapist</w:t>
            </w:r>
          </w:p>
        </w:tc>
      </w:tr>
      <w:tr>
        <w:tc>
          <w:tcPr>
            <w:tcW w:type="dxa" w:w="2381"/>
          </w:tcPr>
          <w:p>
            <w:pPr>
              <w:spacing w:after="20"/>
            </w:pPr>
            <w:r>
              <w:rPr>
                <w:sz w:val="19"/>
              </w:rPr>
            </w:r>
            <w:r>
              <w:rPr>
                <w:sz w:val="19"/>
              </w:rPr>
              <w:t>Privacy</w:t>
            </w:r>
          </w:p>
        </w:tc>
        <w:tc>
          <w:tcPr>
            <w:tcW w:type="dxa" w:w="7257"/>
          </w:tcPr>
          <w:p>
            <w:pPr>
              <w:spacing w:after="20"/>
            </w:pPr>
            <w:r>
              <w:rPr>
                <w:sz w:val="19"/>
              </w:rPr>
            </w:r>
            <w:r>
              <w:rPr>
                <w:sz w:val="19"/>
              </w:rPr>
              <w:t>Recordings deleted after analysis unless the learner opts in; one-tap delete of all data</w:t>
            </w:r>
          </w:p>
        </w:tc>
      </w:tr>
    </w:tbl>
    <w:p/>
    <w:p>
      <w:pPr>
        <w:pStyle w:val="Heading1"/>
      </w:pPr>
      <w:r>
        <w:t>Design system</w:t>
      </w:r>
    </w:p>
    <w:p>
      <w:pPr>
        <w:keepNext w:val="0"/>
      </w:pPr>
      <w:r>
        <w:rPr>
          <w:b w:val="0"/>
          <w:i w:val="0"/>
        </w:rPr>
        <w:t>Candy-pop colours on white, cut-out “sticker” surfaces with thick ink outlines and hard shadows, and a parrot mascot. Colours are used as fills; text always uses ink or a deeper shade so it stays readable.</w:t>
      </w:r>
    </w:p>
    <w:tbl>
      <w:tblPr>
        <w:tblW w:type="auto" w:w="0"/>
        <w:jc w:val="center"/>
        <w:tblLook w:firstColumn="1" w:firstRow="1" w:lastColumn="0" w:lastRow="0" w:noHBand="0" w:noVBand="1" w:val="04A0"/>
      </w:tblPr>
      <w:tblGrid>
        <w:gridCol w:w="1606"/>
        <w:gridCol w:w="1606"/>
        <w:gridCol w:w="1606"/>
        <w:gridCol w:w="1606"/>
        <w:gridCol w:w="1606"/>
        <w:gridCol w:w="1606"/>
      </w:tblGrid>
      <w:tr>
        <w:tc>
          <w:tcPr>
            <w:tcW w:type="dxa" w:w="1587"/>
            <w:shd w:val="clear" w:color="auto" w:fill="FF6B6B"/>
          </w:tcPr>
          <w:p>
            <w:r/>
            <w:r>
              <w:rPr>
                <w:sz w:val="52"/>
              </w:rPr>
              <w:t xml:space="preserve"> </w:t>
            </w:r>
          </w:p>
        </w:tc>
        <w:tc>
          <w:tcPr>
            <w:tcW w:type="dxa" w:w="1587"/>
            <w:shd w:val="clear" w:color="auto" w:fill="FFD93D"/>
          </w:tcPr>
          <w:p>
            <w:r/>
            <w:r>
              <w:rPr>
                <w:sz w:val="52"/>
              </w:rPr>
              <w:t xml:space="preserve"> </w:t>
            </w:r>
          </w:p>
        </w:tc>
        <w:tc>
          <w:tcPr>
            <w:tcW w:type="dxa" w:w="1587"/>
            <w:shd w:val="clear" w:color="auto" w:fill="4D96FF"/>
          </w:tcPr>
          <w:p>
            <w:r/>
            <w:r>
              <w:rPr>
                <w:sz w:val="52"/>
              </w:rPr>
              <w:t xml:space="preserve"> </w:t>
            </w:r>
          </w:p>
        </w:tc>
        <w:tc>
          <w:tcPr>
            <w:tcW w:type="dxa" w:w="1587"/>
            <w:shd w:val="clear" w:color="auto" w:fill="9B5DE5"/>
          </w:tcPr>
          <w:p>
            <w:r/>
            <w:r>
              <w:rPr>
                <w:sz w:val="52"/>
              </w:rPr>
              <w:t xml:space="preserve"> </w:t>
            </w:r>
          </w:p>
        </w:tc>
        <w:tc>
          <w:tcPr>
            <w:tcW w:type="dxa" w:w="1587"/>
            <w:shd w:val="clear" w:color="auto" w:fill="2B2D42"/>
          </w:tcPr>
          <w:p>
            <w:r/>
            <w:r>
              <w:rPr>
                <w:sz w:val="52"/>
              </w:rPr>
              <w:t xml:space="preserve"> </w:t>
            </w:r>
          </w:p>
        </w:tc>
        <w:tc>
          <w:tcPr>
            <w:tcW w:type="dxa" w:w="1587"/>
            <w:shd w:val="clear" w:color="auto" w:fill="FFFFFF"/>
          </w:tcPr>
          <w:p>
            <w:r/>
            <w:r>
              <w:rPr>
                <w:sz w:val="52"/>
              </w:rPr>
              <w:t xml:space="preserve"> </w:t>
            </w:r>
          </w:p>
        </w:tc>
      </w:tr>
      <w:tr>
        <w:tc>
          <w:tcPr>
            <w:tcW w:type="dxa" w:w="1587"/>
          </w:tcPr>
          <w:p>
            <w:r>
              <w:rPr>
                <w:sz w:val="17"/>
              </w:rPr>
            </w:r>
            <w:r>
              <w:rPr>
                <w:b/>
                <w:sz w:val="17"/>
              </w:rPr>
              <w:t>Coral</w:t>
              <w:br/>
            </w:r>
            <w:r>
              <w:rPr>
                <w:sz w:val="17"/>
              </w:rPr>
              <w:t>#FF6B6B</w:t>
              <w:br/>
              <w:t>Primary buttons</w:t>
            </w:r>
          </w:p>
        </w:tc>
        <w:tc>
          <w:tcPr>
            <w:tcW w:type="dxa" w:w="1587"/>
          </w:tcPr>
          <w:p>
            <w:r>
              <w:rPr>
                <w:sz w:val="17"/>
              </w:rPr>
            </w:r>
            <w:r>
              <w:rPr>
                <w:b/>
                <w:sz w:val="17"/>
              </w:rPr>
              <w:t>Sunshine</w:t>
              <w:br/>
            </w:r>
            <w:r>
              <w:rPr>
                <w:sz w:val="17"/>
              </w:rPr>
              <w:t>#FFD93D</w:t>
              <w:br/>
              <w:t>Highlights, active nav</w:t>
            </w:r>
          </w:p>
        </w:tc>
        <w:tc>
          <w:tcPr>
            <w:tcW w:type="dxa" w:w="1587"/>
          </w:tcPr>
          <w:p>
            <w:r>
              <w:rPr>
                <w:sz w:val="17"/>
              </w:rPr>
            </w:r>
            <w:r>
              <w:rPr>
                <w:b/>
                <w:sz w:val="17"/>
              </w:rPr>
              <w:t>Sky</w:t>
              <w:br/>
            </w:r>
            <w:r>
              <w:rPr>
                <w:sz w:val="17"/>
              </w:rPr>
              <w:t>#4D96FF</w:t>
              <w:br/>
              <w:t>On target, Kili</w:t>
            </w:r>
          </w:p>
        </w:tc>
        <w:tc>
          <w:tcPr>
            <w:tcW w:type="dxa" w:w="1587"/>
          </w:tcPr>
          <w:p>
            <w:r>
              <w:rPr>
                <w:sz w:val="17"/>
              </w:rPr>
            </w:r>
            <w:r>
              <w:rPr>
                <w:b/>
                <w:sz w:val="17"/>
              </w:rPr>
              <w:t>Grape</w:t>
              <w:br/>
            </w:r>
            <w:r>
              <w:rPr>
                <w:sz w:val="17"/>
              </w:rPr>
              <w:t>#9B5DE5</w:t>
              <w:br/>
              <w:t>Links, roof of mouth</w:t>
            </w:r>
          </w:p>
        </w:tc>
        <w:tc>
          <w:tcPr>
            <w:tcW w:type="dxa" w:w="1587"/>
          </w:tcPr>
          <w:p>
            <w:r>
              <w:rPr>
                <w:sz w:val="17"/>
              </w:rPr>
            </w:r>
            <w:r>
              <w:rPr>
                <w:b/>
                <w:sz w:val="17"/>
              </w:rPr>
              <w:t>Ink</w:t>
              <w:br/>
            </w:r>
            <w:r>
              <w:rPr>
                <w:sz w:val="17"/>
              </w:rPr>
              <w:t>#2B2D42</w:t>
              <w:br/>
              <w:t>Text, outlines</w:t>
            </w:r>
          </w:p>
        </w:tc>
        <w:tc>
          <w:tcPr>
            <w:tcW w:type="dxa" w:w="1587"/>
          </w:tcPr>
          <w:p>
            <w:r>
              <w:rPr>
                <w:sz w:val="17"/>
              </w:rPr>
            </w:r>
            <w:r>
              <w:rPr>
                <w:b/>
                <w:sz w:val="17"/>
              </w:rPr>
              <w:t>White</w:t>
              <w:br/>
            </w:r>
            <w:r>
              <w:rPr>
                <w:sz w:val="17"/>
              </w:rPr>
              <w:t>#FFFFFF</w:t>
              <w:br/>
              <w:t>Page background</w:t>
            </w:r>
          </w:p>
        </w:tc>
      </w:tr>
    </w:tbl>
    <w:p/>
    <w:tbl>
      <w:tblPr>
        <w:tblStyle w:val="TableGrid"/>
        <w:tblW w:type="auto" w:w="0"/>
        <w:jc w:val="center"/>
        <w:tblLook w:firstColumn="1" w:firstRow="1" w:lastColumn="0" w:lastRow="0" w:noHBand="0" w:noVBand="1" w:val="04A0"/>
      </w:tblPr>
      <w:tblGrid>
        <w:gridCol w:w="3213"/>
        <w:gridCol w:w="3213"/>
        <w:gridCol w:w="3213"/>
      </w:tblGrid>
      <w:tr>
        <w:tc>
          <w:tcPr>
            <w:tcW w:type="dxa" w:w="1701"/>
            <w:shd w:val="clear" w:color="auto" w:fill="FFD93D"/>
          </w:tcPr>
          <w:p>
            <w:pPr>
              <w:keepNext/>
              <w:spacing w:after="20"/>
            </w:pPr>
            <w:r>
              <w:rPr>
                <w:sz w:val="19"/>
              </w:rPr>
            </w:r>
            <w:r>
              <w:rPr>
                <w:b/>
                <w:sz w:val="19"/>
              </w:rPr>
              <w:t>Element</w:t>
            </w:r>
          </w:p>
        </w:tc>
        <w:tc>
          <w:tcPr>
            <w:tcW w:type="dxa" w:w="2268"/>
            <w:shd w:val="clear" w:color="auto" w:fill="FFD93D"/>
          </w:tcPr>
          <w:p>
            <w:pPr>
              <w:keepNext/>
              <w:spacing w:after="20"/>
            </w:pPr>
            <w:r>
              <w:rPr>
                <w:sz w:val="19"/>
              </w:rPr>
            </w:r>
            <w:r>
              <w:rPr>
                <w:b/>
                <w:sz w:val="19"/>
              </w:rPr>
              <w:t>Choice</w:t>
            </w:r>
          </w:p>
        </w:tc>
        <w:tc>
          <w:tcPr>
            <w:tcW w:type="dxa" w:w="5669"/>
            <w:shd w:val="clear" w:color="auto" w:fill="FFD93D"/>
          </w:tcPr>
          <w:p>
            <w:pPr>
              <w:keepNext/>
              <w:spacing w:after="20"/>
            </w:pPr>
            <w:r>
              <w:rPr>
                <w:sz w:val="19"/>
              </w:rPr>
            </w:r>
            <w:r>
              <w:rPr>
                <w:b/>
                <w:sz w:val="19"/>
              </w:rPr>
              <w:t>Why</w:t>
            </w:r>
          </w:p>
        </w:tc>
      </w:tr>
      <w:tr>
        <w:tc>
          <w:tcPr>
            <w:tcW w:type="dxa" w:w="1701"/>
          </w:tcPr>
          <w:p>
            <w:pPr>
              <w:spacing w:after="20"/>
            </w:pPr>
            <w:r>
              <w:rPr>
                <w:sz w:val="19"/>
              </w:rPr>
            </w:r>
            <w:r>
              <w:rPr>
                <w:sz w:val="19"/>
              </w:rPr>
              <w:t>Headings</w:t>
            </w:r>
          </w:p>
        </w:tc>
        <w:tc>
          <w:tcPr>
            <w:tcW w:type="dxa" w:w="2268"/>
          </w:tcPr>
          <w:p>
            <w:pPr>
              <w:spacing w:after="20"/>
            </w:pPr>
            <w:r>
              <w:rPr>
                <w:sz w:val="19"/>
              </w:rPr>
            </w:r>
            <w:r>
              <w:rPr>
                <w:sz w:val="19"/>
              </w:rPr>
              <w:t>Baloo 2 (ExtraBold)</w:t>
            </w:r>
          </w:p>
        </w:tc>
        <w:tc>
          <w:tcPr>
            <w:tcW w:type="dxa" w:w="5669"/>
          </w:tcPr>
          <w:p>
            <w:pPr>
              <w:spacing w:after="20"/>
            </w:pPr>
            <w:r>
              <w:rPr>
                <w:sz w:val="19"/>
              </w:rPr>
            </w:r>
            <w:r>
              <w:rPr>
                <w:sz w:val="19"/>
              </w:rPr>
              <w:t>Rounded and friendly; made by an Indian type foundry with matching Devanagari, so Hindi words share the style</w:t>
            </w:r>
          </w:p>
        </w:tc>
      </w:tr>
      <w:tr>
        <w:tc>
          <w:tcPr>
            <w:tcW w:type="dxa" w:w="1701"/>
            <w:shd w:val="clear" w:color="auto" w:fill="F7F5FB"/>
          </w:tcPr>
          <w:p>
            <w:pPr>
              <w:spacing w:after="20"/>
            </w:pPr>
            <w:r>
              <w:rPr>
                <w:sz w:val="19"/>
              </w:rPr>
            </w:r>
            <w:r>
              <w:rPr>
                <w:sz w:val="19"/>
              </w:rPr>
              <w:t>Tamil words</w:t>
            </w:r>
          </w:p>
        </w:tc>
        <w:tc>
          <w:tcPr>
            <w:tcW w:type="dxa" w:w="2268"/>
            <w:shd w:val="clear" w:color="auto" w:fill="F7F5FB"/>
          </w:tcPr>
          <w:p>
            <w:pPr>
              <w:spacing w:after="20"/>
            </w:pPr>
            <w:r>
              <w:rPr>
                <w:sz w:val="19"/>
              </w:rPr>
            </w:r>
            <w:r>
              <w:rPr>
                <w:sz w:val="19"/>
              </w:rPr>
              <w:t>Baloo Thambi 2</w:t>
            </w:r>
          </w:p>
        </w:tc>
        <w:tc>
          <w:tcPr>
            <w:tcW w:type="dxa" w:w="5669"/>
            <w:shd w:val="clear" w:color="auto" w:fill="F7F5FB"/>
          </w:tcPr>
          <w:p>
            <w:pPr>
              <w:spacing w:after="20"/>
            </w:pPr>
            <w:r>
              <w:rPr>
                <w:sz w:val="19"/>
              </w:rPr>
            </w:r>
            <w:r>
              <w:rPr>
                <w:sz w:val="19"/>
              </w:rPr>
              <w:t>The Tamil sibling of Baloo — ழ, ள, ர look as bubbly as the English text</w:t>
            </w:r>
          </w:p>
        </w:tc>
      </w:tr>
      <w:tr>
        <w:tc>
          <w:tcPr>
            <w:tcW w:type="dxa" w:w="1701"/>
          </w:tcPr>
          <w:p>
            <w:pPr>
              <w:spacing w:after="20"/>
            </w:pPr>
            <w:r>
              <w:rPr>
                <w:sz w:val="19"/>
              </w:rPr>
            </w:r>
            <w:r>
              <w:rPr>
                <w:sz w:val="19"/>
              </w:rPr>
              <w:t>Body text</w:t>
            </w:r>
          </w:p>
        </w:tc>
        <w:tc>
          <w:tcPr>
            <w:tcW w:type="dxa" w:w="2268"/>
          </w:tcPr>
          <w:p>
            <w:pPr>
              <w:spacing w:after="20"/>
            </w:pPr>
            <w:r>
              <w:rPr>
                <w:sz w:val="19"/>
              </w:rPr>
            </w:r>
            <w:r>
              <w:rPr>
                <w:sz w:val="19"/>
              </w:rPr>
              <w:t>DM Sans</w:t>
            </w:r>
          </w:p>
        </w:tc>
        <w:tc>
          <w:tcPr>
            <w:tcW w:type="dxa" w:w="5669"/>
          </w:tcPr>
          <w:p>
            <w:pPr>
              <w:spacing w:after="20"/>
            </w:pPr>
            <w:r>
              <w:rPr>
                <w:sz w:val="19"/>
              </w:rPr>
            </w:r>
            <w:r>
              <w:rPr>
                <w:sz w:val="19"/>
              </w:rPr>
              <w:t>Clean and readable at small sizes</w:t>
            </w:r>
          </w:p>
        </w:tc>
      </w:tr>
      <w:tr>
        <w:tc>
          <w:tcPr>
            <w:tcW w:type="dxa" w:w="1701"/>
            <w:shd w:val="clear" w:color="auto" w:fill="F7F5FB"/>
          </w:tcPr>
          <w:p>
            <w:pPr>
              <w:spacing w:after="20"/>
            </w:pPr>
            <w:r>
              <w:rPr>
                <w:sz w:val="19"/>
              </w:rPr>
            </w:r>
            <w:r>
              <w:rPr>
                <w:sz w:val="19"/>
              </w:rPr>
              <w:t>Mascot</w:t>
            </w:r>
          </w:p>
        </w:tc>
        <w:tc>
          <w:tcPr>
            <w:tcW w:type="dxa" w:w="2268"/>
            <w:shd w:val="clear" w:color="auto" w:fill="F7F5FB"/>
          </w:tcPr>
          <w:p>
            <w:pPr>
              <w:spacing w:after="20"/>
            </w:pPr>
            <w:r>
              <w:rPr>
                <w:sz w:val="19"/>
              </w:rPr>
            </w:r>
            <w:r>
              <w:rPr>
                <w:sz w:val="19"/>
              </w:rPr>
              <w:t>Kili the parrot</w:t>
            </w:r>
          </w:p>
        </w:tc>
        <w:tc>
          <w:tcPr>
            <w:tcW w:type="dxa" w:w="5669"/>
            <w:shd w:val="clear" w:color="auto" w:fill="F7F5FB"/>
          </w:tcPr>
          <w:p>
            <w:pPr>
              <w:spacing w:after="20"/>
            </w:pPr>
            <w:r>
              <w:rPr>
                <w:sz w:val="19"/>
              </w:rPr>
            </w:r>
            <w:r>
              <w:rPr>
                <w:sz w:val="19"/>
              </w:rPr>
              <w:t>“Kili” is Tamil for parrot — and parrots copy speech</w:t>
            </w:r>
          </w:p>
        </w:tc>
      </w:tr>
    </w:tbl>
    <w:p/>
    <w:tbl>
      <w:tblPr>
        <w:tblStyle w:val="TableGrid"/>
        <w:tblW w:type="auto" w:w="0"/>
        <w:jc w:val="center"/>
        <w:tblLook w:firstColumn="1" w:firstRow="1" w:lastColumn="0" w:lastRow="0" w:noHBand="0" w:noVBand="1" w:val="04A0"/>
      </w:tblPr>
      <w:tblGrid>
        <w:gridCol w:w="4819"/>
        <w:gridCol w:w="4819"/>
      </w:tblGrid>
      <w:tr>
        <w:tc>
          <w:tcPr>
            <w:tcW w:type="dxa" w:w="3402"/>
            <w:shd w:val="clear" w:color="auto" w:fill="FFD93D"/>
          </w:tcPr>
          <w:p>
            <w:pPr>
              <w:keepNext/>
              <w:spacing w:after="20"/>
            </w:pPr>
            <w:r>
              <w:rPr>
                <w:sz w:val="19"/>
              </w:rPr>
            </w:r>
            <w:r>
              <w:rPr>
                <w:b/>
                <w:sz w:val="19"/>
              </w:rPr>
              <w:t>Kili’s mood</w:t>
            </w:r>
          </w:p>
        </w:tc>
        <w:tc>
          <w:tcPr>
            <w:tcW w:type="dxa" w:w="6236"/>
            <w:shd w:val="clear" w:color="auto" w:fill="FFD93D"/>
          </w:tcPr>
          <w:p>
            <w:pPr>
              <w:keepNext/>
              <w:spacing w:after="20"/>
            </w:pPr>
            <w:r>
              <w:rPr>
                <w:sz w:val="19"/>
              </w:rPr>
            </w:r>
            <w:r>
              <w:rPr>
                <w:b/>
                <w:sz w:val="19"/>
              </w:rPr>
              <w:t>When it appears</w:t>
            </w:r>
          </w:p>
        </w:tc>
      </w:tr>
      <w:tr>
        <w:tc>
          <w:tcPr>
            <w:tcW w:type="dxa" w:w="3402"/>
          </w:tcPr>
          <w:p>
            <w:pPr>
              <w:spacing w:after="20"/>
            </w:pPr>
            <w:r>
              <w:rPr>
                <w:sz w:val="19"/>
              </w:rPr>
            </w:r>
            <w:r>
              <w:rPr>
                <w:sz w:val="19"/>
              </w:rPr>
              <w:t>Idle (blinks)</w:t>
            </w:r>
          </w:p>
        </w:tc>
        <w:tc>
          <w:tcPr>
            <w:tcW w:type="dxa" w:w="6236"/>
          </w:tcPr>
          <w:p>
            <w:pPr>
              <w:spacing w:after="20"/>
            </w:pPr>
            <w:r>
              <w:rPr>
                <w:sz w:val="19"/>
              </w:rPr>
            </w:r>
            <w:r>
              <w:rPr>
                <w:sz w:val="19"/>
              </w:rPr>
              <w:t>Waiting for you to start</w:t>
            </w:r>
          </w:p>
        </w:tc>
      </w:tr>
      <w:tr>
        <w:tc>
          <w:tcPr>
            <w:tcW w:type="dxa" w:w="3402"/>
            <w:shd w:val="clear" w:color="auto" w:fill="F7F5FB"/>
          </w:tcPr>
          <w:p>
            <w:pPr>
              <w:spacing w:after="20"/>
            </w:pPr>
            <w:r>
              <w:rPr>
                <w:sz w:val="19"/>
              </w:rPr>
            </w:r>
            <w:r>
              <w:rPr>
                <w:sz w:val="19"/>
              </w:rPr>
              <w:t>Listening (head tilt + sound waves)</w:t>
            </w:r>
          </w:p>
        </w:tc>
        <w:tc>
          <w:tcPr>
            <w:tcW w:type="dxa" w:w="6236"/>
            <w:shd w:val="clear" w:color="auto" w:fill="F7F5FB"/>
          </w:tcPr>
          <w:p>
            <w:pPr>
              <w:spacing w:after="20"/>
            </w:pPr>
            <w:r>
              <w:rPr>
                <w:sz w:val="19"/>
              </w:rPr>
            </w:r>
            <w:r>
              <w:rPr>
                <w:sz w:val="19"/>
              </w:rPr>
              <w:t>While the microphone is recording</w:t>
            </w:r>
          </w:p>
        </w:tc>
      </w:tr>
      <w:tr>
        <w:tc>
          <w:tcPr>
            <w:tcW w:type="dxa" w:w="3402"/>
          </w:tcPr>
          <w:p>
            <w:pPr>
              <w:spacing w:after="20"/>
            </w:pPr>
            <w:r>
              <w:rPr>
                <w:sz w:val="19"/>
              </w:rPr>
            </w:r>
            <w:r>
              <w:rPr>
                <w:sz w:val="19"/>
              </w:rPr>
              <w:t>Thinking (three dots)</w:t>
            </w:r>
          </w:p>
        </w:tc>
        <w:tc>
          <w:tcPr>
            <w:tcW w:type="dxa" w:w="6236"/>
          </w:tcPr>
          <w:p>
            <w:pPr>
              <w:spacing w:after="20"/>
            </w:pPr>
            <w:r>
              <w:rPr>
                <w:sz w:val="19"/>
              </w:rPr>
            </w:r>
            <w:r>
              <w:rPr>
                <w:sz w:val="19"/>
              </w:rPr>
              <w:t>While the attempt is analysed, or when the result is “not sure”</w:t>
            </w:r>
          </w:p>
        </w:tc>
      </w:tr>
      <w:tr>
        <w:tc>
          <w:tcPr>
            <w:tcW w:type="dxa" w:w="3402"/>
            <w:shd w:val="clear" w:color="auto" w:fill="F7F5FB"/>
          </w:tcPr>
          <w:p>
            <w:pPr>
              <w:spacing w:after="20"/>
            </w:pPr>
            <w:r>
              <w:rPr>
                <w:sz w:val="19"/>
              </w:rPr>
            </w:r>
            <w:r>
              <w:rPr>
                <w:sz w:val="19"/>
              </w:rPr>
              <w:t>Happy (hops, sparkles)</w:t>
            </w:r>
          </w:p>
        </w:tc>
        <w:tc>
          <w:tcPr>
            <w:tcW w:type="dxa" w:w="6236"/>
            <w:shd w:val="clear" w:color="auto" w:fill="F7F5FB"/>
          </w:tcPr>
          <w:p>
            <w:pPr>
              <w:spacing w:after="20"/>
            </w:pPr>
            <w:r>
              <w:rPr>
                <w:sz w:val="19"/>
              </w:rPr>
            </w:r>
            <w:r>
              <w:rPr>
                <w:sz w:val="19"/>
              </w:rPr>
              <w:t>The target sound was on target</w:t>
            </w:r>
          </w:p>
        </w:tc>
      </w:tr>
      <w:tr>
        <w:tc>
          <w:tcPr>
            <w:tcW w:type="dxa" w:w="3402"/>
          </w:tcPr>
          <w:p>
            <w:pPr>
              <w:spacing w:after="20"/>
            </w:pPr>
            <w:r>
              <w:rPr>
                <w:sz w:val="19"/>
              </w:rPr>
            </w:r>
            <w:r>
              <w:rPr>
                <w:sz w:val="19"/>
              </w:rPr>
              <w:t>Encouraging (wing up)</w:t>
            </w:r>
          </w:p>
        </w:tc>
        <w:tc>
          <w:tcPr>
            <w:tcW w:type="dxa" w:w="6236"/>
          </w:tcPr>
          <w:p>
            <w:pPr>
              <w:spacing w:after="20"/>
            </w:pPr>
            <w:r>
              <w:rPr>
                <w:sz w:val="19"/>
              </w:rPr>
            </w:r>
            <w:r>
              <w:rPr>
                <w:sz w:val="19"/>
              </w:rPr>
              <w:t>A mix-up was heard — never a sad face</w:t>
            </w:r>
          </w:p>
        </w:tc>
      </w:tr>
    </w:tbl>
    <w:p/>
    <w:p>
      <w:pPr>
        <w:keepNext w:val="0"/>
      </w:pPr>
      <w:r>
        <w:rPr>
          <w:b w:val="0"/>
          <w:i w:val="0"/>
          <w:sz w:val="20"/>
        </w:rPr>
        <w:t>Motion is subtle and always means something: a live waveform while recording, Kili’s reactions, a gentle page fade, the confidence bar filling, and progress bars growing in. All of it switches off for people who set “reduce motion” on their device.</w:t>
      </w:r>
    </w:p>
    <w:p>
      <w:r>
        <w:br w:type="page"/>
      </w:r>
    </w:p>
    <w:p>
      <w:pPr>
        <w:pStyle w:val="Heading1"/>
      </w:pPr>
      <w:r>
        <w:t>Feature walkthrough</w:t>
      </w:r>
    </w:p>
    <w:p>
      <w:pPr>
        <w:keepNext w:val="0"/>
      </w:pPr>
      <w:r>
        <w:rPr>
          <w:b w:val="0"/>
          <w:i/>
          <w:color w:val="4F5370"/>
        </w:rPr>
        <w:t>The screens below follow a real session: a Tamil learner (Priya) and a Hindi learner (Arjun). Their speech was simulated with Sarvam’s voices, including deliberate mix-ups, and analysed by the real system.</w:t>
      </w:r>
    </w:p>
    <w:p>
      <w:pPr>
        <w:pStyle w:val="Heading2"/>
      </w:pPr>
      <w:r>
        <w:t>1. Landing page</w:t>
      </w:r>
    </w:p>
    <w:p>
      <w:pPr>
        <w:keepNext w:val="0"/>
        <w:jc w:val="center"/>
      </w:pPr>
      <w:r>
        <w:drawing>
          <wp:inline xmlns:a="http://schemas.openxmlformats.org/drawingml/2006/main" xmlns:pic="http://schemas.openxmlformats.org/drawingml/2006/picture">
            <wp:extent cx="5400000" cy="5455344"/>
            <wp:docPr id="2" name="Picture 2"/>
            <wp:cNvGraphicFramePr>
              <a:graphicFrameLocks noChangeAspect="1"/>
            </wp:cNvGraphicFramePr>
            <a:graphic>
              <a:graphicData uri="http://schemas.openxmlformats.org/drawingml/2006/picture">
                <pic:pic>
                  <pic:nvPicPr>
                    <pic:cNvPr id="0" name="01_landing.png"/>
                    <pic:cNvPicPr/>
                  </pic:nvPicPr>
                  <pic:blipFill>
                    <a:blip r:embed="rId9"/>
                    <a:stretch>
                      <a:fillRect/>
                    </a:stretch>
                  </pic:blipFill>
                  <pic:spPr>
                    <a:xfrm>
                      <a:off x="0" y="0"/>
                      <a:ext cx="5400000" cy="5455344"/>
                    </a:xfrm>
                    <a:prstGeom prst="rect"/>
                  </pic:spPr>
                </pic:pic>
              </a:graphicData>
            </a:graphic>
          </wp:inline>
        </w:drawing>
      </w:r>
    </w:p>
    <w:p>
      <w:pPr>
        <w:pStyle w:val="ListBullet"/>
      </w:pPr>
      <w:r>
        <w:rPr>
          <w:b/>
        </w:rPr>
        <w:t xml:space="preserve">Headline and sticker letters: </w:t>
      </w:r>
      <w:r>
        <w:t>the six practice sounds in Tamil and Hindi, set in the brand typefaces.</w:t>
      </w:r>
    </w:p>
    <w:p>
      <w:pPr>
        <w:pStyle w:val="ListBullet"/>
      </w:pPr>
      <w:r>
        <w:rPr>
          <w:b/>
        </w:rPr>
        <w:t xml:space="preserve">Live mouth diagram: </w:t>
      </w:r>
      <w:r>
        <w:t>the tongue curls back for ழ while air flows over it — the product’s core idea on the first screen.</w:t>
      </w:r>
    </w:p>
    <w:p>
      <w:pPr>
        <w:pStyle w:val="ListBullet"/>
      </w:pPr>
      <w:r>
        <w:rPr>
          <w:b/>
        </w:rPr>
        <w:t xml:space="preserve">Kili introduces itself; </w:t>
      </w:r>
      <w:r>
        <w:t>privacy and “not a diagnosis” notes sit right below the fold.</w:t>
      </w:r>
    </w:p>
    <w:p>
      <w:pPr>
        <w:keepNext w:val="0"/>
      </w:pPr>
      <w:r>
        <w:rPr>
          <w:b/>
        </w:rPr>
        <w:t xml:space="preserve">Demo tip: </w:t>
      </w:r>
      <w:r>
        <w:rPr>
          <w:b w:val="0"/>
          <w:i w:val="0"/>
          <w:color w:val="4F5370"/>
          <w:sz w:val="19"/>
        </w:rPr>
        <w:t>Start here to explain the problem: most speech apps only cover English sounds.</w:t>
      </w:r>
    </w:p>
    <w:p>
      <w:pPr>
        <w:pStyle w:val="Heading2"/>
      </w:pPr>
      <w:r>
        <w:t>2. Onboarding</w:t>
      </w:r>
    </w:p>
    <w:p>
      <w:pPr>
        <w:keepNext w:val="0"/>
        <w:jc w:val="center"/>
      </w:pPr>
      <w:r>
        <w:drawing>
          <wp:inline xmlns:a="http://schemas.openxmlformats.org/drawingml/2006/main" xmlns:pic="http://schemas.openxmlformats.org/drawingml/2006/picture">
            <wp:extent cx="4680000" cy="4152387"/>
            <wp:docPr id="3" name="Picture 3"/>
            <wp:cNvGraphicFramePr>
              <a:graphicFrameLocks noChangeAspect="1"/>
            </wp:cNvGraphicFramePr>
            <a:graphic>
              <a:graphicData uri="http://schemas.openxmlformats.org/drawingml/2006/picture">
                <pic:pic>
                  <pic:nvPicPr>
                    <pic:cNvPr id="0" name="02_onboarding.png"/>
                    <pic:cNvPicPr/>
                  </pic:nvPicPr>
                  <pic:blipFill>
                    <a:blip r:embed="rId10"/>
                    <a:stretch>
                      <a:fillRect/>
                    </a:stretch>
                  </pic:blipFill>
                  <pic:spPr>
                    <a:xfrm>
                      <a:off x="0" y="0"/>
                      <a:ext cx="4680000" cy="4152387"/>
                    </a:xfrm>
                    <a:prstGeom prst="rect"/>
                  </pic:spPr>
                </pic:pic>
              </a:graphicData>
            </a:graphic>
          </wp:inline>
        </w:drawing>
      </w:r>
    </w:p>
    <w:p>
      <w:pPr>
        <w:pStyle w:val="ListBullet"/>
      </w:pPr>
      <w:r>
        <w:t>Name, language (Tamil or Hindi), an optional goal, and feedback style (brief, step by step or encouraging).</w:t>
      </w:r>
    </w:p>
    <w:p>
      <w:pPr>
        <w:pStyle w:val="ListBullet"/>
      </w:pPr>
      <w:r>
        <w:t>Recordings are not kept unless the learner opts in; microphone access is asked for only when they press record.</w:t>
      </w:r>
    </w:p>
    <w:p>
      <w:r>
        <w:br w:type="page"/>
      </w:r>
    </w:p>
    <w:p>
      <w:pPr>
        <w:pStyle w:val="Heading2"/>
      </w:pPr>
      <w:r>
        <w:t>3. Two-minute check</w:t>
      </w:r>
    </w:p>
    <w:p>
      <w:pPr>
        <w:keepNext w:val="0"/>
        <w:jc w:val="center"/>
      </w:pPr>
      <w:r>
        <w:drawing>
          <wp:inline xmlns:a="http://schemas.openxmlformats.org/drawingml/2006/main" xmlns:pic="http://schemas.openxmlformats.org/drawingml/2006/picture">
            <wp:extent cx="5040000" cy="3842108"/>
            <wp:docPr id="4" name="Picture 4"/>
            <wp:cNvGraphicFramePr>
              <a:graphicFrameLocks noChangeAspect="1"/>
            </wp:cNvGraphicFramePr>
            <a:graphic>
              <a:graphicData uri="http://schemas.openxmlformats.org/drawingml/2006/picture">
                <pic:pic>
                  <pic:nvPicPr>
                    <pic:cNvPr id="0" name="03_baseline.png"/>
                    <pic:cNvPicPr/>
                  </pic:nvPicPr>
                  <pic:blipFill>
                    <a:blip r:embed="rId11"/>
                    <a:stretch>
                      <a:fillRect/>
                    </a:stretch>
                  </pic:blipFill>
                  <pic:spPr>
                    <a:xfrm>
                      <a:off x="0" y="0"/>
                      <a:ext cx="5040000" cy="3842108"/>
                    </a:xfrm>
                    <a:prstGeom prst="rect"/>
                  </pic:spPr>
                </pic:pic>
              </a:graphicData>
            </a:graphic>
          </wp:inline>
        </w:drawing>
      </w:r>
    </w:p>
    <w:p>
      <w:pPr>
        <w:pStyle w:val="ListBullet"/>
      </w:pPr>
      <w:r>
        <w:t>Six short words, two per sound, with the target sound highlighted, romanised and translated.</w:t>
      </w:r>
    </w:p>
    <w:p>
      <w:pPr>
        <w:pStyle w:val="ListBullet"/>
      </w:pPr>
      <w:r>
        <w:t>“Hear it” plays a native reference voice from Sarvam; the recorder accepts the microphone or a WAV upload.</w:t>
      </w:r>
    </w:p>
    <w:p>
      <w:pPr>
        <w:pStyle w:val="Heading2"/>
      </w:pPr>
      <w:r>
        <w:t>4. Plan ready</w:t>
      </w:r>
    </w:p>
    <w:p>
      <w:pPr>
        <w:keepNext w:val="0"/>
        <w:jc w:val="center"/>
      </w:pPr>
      <w:r>
        <w:drawing>
          <wp:inline xmlns:a="http://schemas.openxmlformats.org/drawingml/2006/main" xmlns:pic="http://schemas.openxmlformats.org/drawingml/2006/picture">
            <wp:extent cx="4320000" cy="3021702"/>
            <wp:docPr id="5" name="Picture 5"/>
            <wp:cNvGraphicFramePr>
              <a:graphicFrameLocks noChangeAspect="1"/>
            </wp:cNvGraphicFramePr>
            <a:graphic>
              <a:graphicData uri="http://schemas.openxmlformats.org/drawingml/2006/picture">
                <pic:pic>
                  <pic:nvPicPr>
                    <pic:cNvPr id="0" name="04_plan_ready.png"/>
                    <pic:cNvPicPr/>
                  </pic:nvPicPr>
                  <pic:blipFill>
                    <a:blip r:embed="rId12"/>
                    <a:stretch>
                      <a:fillRect/>
                    </a:stretch>
                  </pic:blipFill>
                  <pic:spPr>
                    <a:xfrm>
                      <a:off x="0" y="0"/>
                      <a:ext cx="4320000" cy="3021702"/>
                    </a:xfrm>
                    <a:prstGeom prst="rect"/>
                  </pic:spPr>
                </pic:pic>
              </a:graphicData>
            </a:graphic>
          </wp:inline>
        </w:drawing>
      </w:r>
    </w:p>
    <w:p>
      <w:pPr>
        <w:pStyle w:val="ListBullet"/>
      </w:pPr>
      <w:r>
        <w:t>Sounds are ranked by how they came out: here ழ needs focus, ள is next, and ர sounded clear.</w:t>
      </w:r>
    </w:p>
    <w:p>
      <w:pPr>
        <w:pStyle w:val="ListBullet"/>
      </w:pPr>
      <w:r>
        <w:t>Starting levels are set from the results; the note reminds learners this is not an assessment.</w:t>
      </w:r>
    </w:p>
    <w:p>
      <w:r>
        <w:br w:type="page"/>
      </w:r>
    </w:p>
    <w:p>
      <w:pPr>
        <w:pStyle w:val="Heading2"/>
      </w:pPr>
      <w:r>
        <w:t>5. Practice room</w:t>
      </w:r>
    </w:p>
    <w:p>
      <w:pPr>
        <w:keepNext w:val="0"/>
        <w:jc w:val="center"/>
      </w:pPr>
      <w:r>
        <w:drawing>
          <wp:inline xmlns:a="http://schemas.openxmlformats.org/drawingml/2006/main" xmlns:pic="http://schemas.openxmlformats.org/drawingml/2006/picture">
            <wp:extent cx="5040000" cy="3527262"/>
            <wp:docPr id="6" name="Picture 6"/>
            <wp:cNvGraphicFramePr>
              <a:graphicFrameLocks noChangeAspect="1"/>
            </wp:cNvGraphicFramePr>
            <a:graphic>
              <a:graphicData uri="http://schemas.openxmlformats.org/drawingml/2006/picture">
                <pic:pic>
                  <pic:nvPicPr>
                    <pic:cNvPr id="0" name="05_practice.png"/>
                    <pic:cNvPicPr/>
                  </pic:nvPicPr>
                  <pic:blipFill>
                    <a:blip r:embed="rId13"/>
                    <a:stretch>
                      <a:fillRect/>
                    </a:stretch>
                  </pic:blipFill>
                  <pic:spPr>
                    <a:xfrm>
                      <a:off x="0" y="0"/>
                      <a:ext cx="5040000" cy="3527262"/>
                    </a:xfrm>
                    <a:prstGeom prst="rect"/>
                  </pic:spPr>
                </pic:pic>
              </a:graphicData>
            </a:graphic>
          </wp:inline>
        </w:drawing>
      </w:r>
    </w:p>
    <w:p>
      <w:pPr>
        <w:pStyle w:val="ListBullet"/>
      </w:pPr>
      <w:r>
        <w:rPr>
          <w:b/>
        </w:rPr>
        <w:t xml:space="preserve">Word card: </w:t>
      </w:r>
      <w:r>
        <w:t>Kili next to a speech bubble with the word, its sound highlighted.</w:t>
      </w:r>
    </w:p>
    <w:p>
      <w:pPr>
        <w:pStyle w:val="ListBullet"/>
      </w:pPr>
      <w:r>
        <w:rPr>
          <w:b/>
        </w:rPr>
        <w:t xml:space="preserve">How-to panel: </w:t>
      </w:r>
      <w:r>
        <w:t>an animated side view of the mouth plus four plain-language steps.</w:t>
      </w:r>
    </w:p>
    <w:p>
      <w:pPr>
        <w:pStyle w:val="ListBullet"/>
      </w:pPr>
      <w:r>
        <w:rPr>
          <w:b/>
        </w:rPr>
        <w:t xml:space="preserve">Level badge: </w:t>
      </w:r>
      <w:r>
        <w:t>shows the current level (here level 2, short words).</w:t>
      </w:r>
    </w:p>
    <w:p>
      <w:pPr>
        <w:pStyle w:val="Heading2"/>
      </w:pPr>
      <w:r>
        <w:t>6. Recording</w:t>
      </w:r>
    </w:p>
    <w:p>
      <w:pPr>
        <w:keepNext w:val="0"/>
        <w:jc w:val="center"/>
      </w:pPr>
      <w:r>
        <w:drawing>
          <wp:inline xmlns:a="http://schemas.openxmlformats.org/drawingml/2006/main" xmlns:pic="http://schemas.openxmlformats.org/drawingml/2006/picture">
            <wp:extent cx="2592000" cy="3058792"/>
            <wp:docPr id="7" name="Picture 7"/>
            <wp:cNvGraphicFramePr>
              <a:graphicFrameLocks noChangeAspect="1"/>
            </wp:cNvGraphicFramePr>
            <a:graphic>
              <a:graphicData uri="http://schemas.openxmlformats.org/drawingml/2006/picture">
                <pic:pic>
                  <pic:nvPicPr>
                    <pic:cNvPr id="0" name="06_recording.png"/>
                    <pic:cNvPicPr/>
                  </pic:nvPicPr>
                  <pic:blipFill>
                    <a:blip r:embed="rId14"/>
                    <a:stretch>
                      <a:fillRect/>
                    </a:stretch>
                  </pic:blipFill>
                  <pic:spPr>
                    <a:xfrm>
                      <a:off x="0" y="0"/>
                      <a:ext cx="2592000" cy="3058792"/>
                    </a:xfrm>
                    <a:prstGeom prst="rect"/>
                  </pic:spPr>
                </pic:pic>
              </a:graphicData>
            </a:graphic>
          </wp:inline>
        </w:drawing>
      </w:r>
    </w:p>
    <w:p>
      <w:pPr>
        <w:pStyle w:val="ListBullet"/>
      </w:pPr>
      <w:r>
        <w:t>The waveform moves with the learner’s voice, so they can see the microphone is hearing them.</w:t>
      </w:r>
    </w:p>
    <w:p>
      <w:pPr>
        <w:pStyle w:val="ListBullet"/>
      </w:pPr>
      <w:r>
        <w:t>Kili tilts its head and shows sound waves while listening.</w:t>
      </w:r>
    </w:p>
    <w:p>
      <w:pPr>
        <w:keepNext w:val="0"/>
      </w:pPr>
      <w:r>
        <w:rPr>
          <w:b/>
        </w:rPr>
        <w:t xml:space="preserve">Demo tip: </w:t>
      </w:r>
      <w:r>
        <w:rPr>
          <w:b w:val="0"/>
          <w:i w:val="0"/>
          <w:color w:val="4F5370"/>
          <w:sz w:val="19"/>
        </w:rPr>
        <w:t>In Chrome or Edge, record live. In the app’s built-in browser panel the microphone is blocked, so use WAV upload there.</w:t>
      </w:r>
    </w:p>
    <w:p>
      <w:r>
        <w:br w:type="page"/>
      </w:r>
    </w:p>
    <w:p>
      <w:pPr>
        <w:pStyle w:val="Heading2"/>
      </w:pPr>
      <w:r>
        <w:t>7. Feedback — Hindi mix-up (the key moment)</w:t>
      </w:r>
    </w:p>
    <w:p>
      <w:pPr>
        <w:keepNext w:val="0"/>
        <w:jc w:val="center"/>
      </w:pPr>
      <w:r>
        <w:drawing>
          <wp:inline xmlns:a="http://schemas.openxmlformats.org/drawingml/2006/main" xmlns:pic="http://schemas.openxmlformats.org/drawingml/2006/picture">
            <wp:extent cx="5580000" cy="4388222"/>
            <wp:docPr id="8" name="Picture 8"/>
            <wp:cNvGraphicFramePr>
              <a:graphicFrameLocks noChangeAspect="1"/>
            </wp:cNvGraphicFramePr>
            <a:graphic>
              <a:graphicData uri="http://schemas.openxmlformats.org/drawingml/2006/picture">
                <pic:pic>
                  <pic:nvPicPr>
                    <pic:cNvPr id="0" name="13_feedback_hindi_mixup.png"/>
                    <pic:cNvPicPr/>
                  </pic:nvPicPr>
                  <pic:blipFill>
                    <a:blip r:embed="rId15"/>
                    <a:stretch>
                      <a:fillRect/>
                    </a:stretch>
                  </pic:blipFill>
                  <pic:spPr>
                    <a:xfrm>
                      <a:off x="0" y="0"/>
                      <a:ext cx="5580000" cy="4388222"/>
                    </a:xfrm>
                    <a:prstGeom prst="rect"/>
                  </pic:spPr>
                </pic:pic>
              </a:graphicData>
            </a:graphic>
          </wp:inline>
        </w:drawing>
      </w:r>
    </w:p>
    <w:p>
      <w:pPr>
        <w:pStyle w:val="ListBullet"/>
      </w:pPr>
      <w:r>
        <w:rPr>
          <w:b/>
        </w:rPr>
        <w:t xml:space="preserve">Verdict: </w:t>
      </w:r>
      <w:r>
        <w:t>“We heard स instead of श”, with high confidence because all three checks agreed.</w:t>
      </w:r>
    </w:p>
    <w:p>
      <w:pPr>
        <w:pStyle w:val="ListBullet"/>
      </w:pPr>
      <w:r>
        <w:rPr>
          <w:b/>
        </w:rPr>
        <w:t xml:space="preserve">Evidence: </w:t>
      </w:r>
      <w:r>
        <w:t>Sarvam wrote सा; the phoneme model heard /s aː/; the closest Sarvam voice was the mix-up.</w:t>
      </w:r>
    </w:p>
    <w:p>
      <w:pPr>
        <w:pStyle w:val="ListBullet"/>
      </w:pPr>
      <w:r>
        <w:rPr>
          <w:b/>
        </w:rPr>
        <w:t xml:space="preserve">One tip: </w:t>
      </w:r>
      <w:r>
        <w:t>pull the tongue back, round the lips, blow “shhh”.</w:t>
      </w:r>
    </w:p>
    <w:p>
      <w:pPr>
        <w:pStyle w:val="ListBullet"/>
      </w:pPr>
      <w:r>
        <w:rPr>
          <w:b/>
        </w:rPr>
        <w:t xml:space="preserve">Side-by-side mouths: </w:t>
      </w:r>
      <w:r>
        <w:t>the target sound and the sound that was heard.</w:t>
      </w:r>
    </w:p>
    <w:p>
      <w:pPr>
        <w:keepNext w:val="0"/>
      </w:pPr>
      <w:r>
        <w:rPr>
          <w:b/>
        </w:rPr>
        <w:t xml:space="preserve">Demo tip: </w:t>
      </w:r>
      <w:r>
        <w:rPr>
          <w:b w:val="0"/>
          <w:i w:val="0"/>
          <w:color w:val="4F5370"/>
          <w:sz w:val="19"/>
        </w:rPr>
        <w:t>Open “Why this confidence?” to show each check’s measured accuracy for this sound.</w:t>
      </w:r>
    </w:p>
    <w:p>
      <w:r>
        <w:br w:type="page"/>
      </w:r>
    </w:p>
    <w:p>
      <w:pPr>
        <w:pStyle w:val="Heading2"/>
      </w:pPr>
      <w:r>
        <w:t>8. Feedback — correct attempt</w:t>
      </w:r>
    </w:p>
    <w:p>
      <w:pPr>
        <w:keepNext w:val="0"/>
        <w:jc w:val="center"/>
      </w:pPr>
      <w:r>
        <w:drawing>
          <wp:inline xmlns:a="http://schemas.openxmlformats.org/drawingml/2006/main" xmlns:pic="http://schemas.openxmlformats.org/drawingml/2006/picture">
            <wp:extent cx="5580000" cy="2965667"/>
            <wp:docPr id="9" name="Picture 9"/>
            <wp:cNvGraphicFramePr>
              <a:graphicFrameLocks noChangeAspect="1"/>
            </wp:cNvGraphicFramePr>
            <a:graphic>
              <a:graphicData uri="http://schemas.openxmlformats.org/drawingml/2006/picture">
                <pic:pic>
                  <pic:nvPicPr>
                    <pic:cNvPr id="0" name="14_feedback_hindi_correct.png"/>
                    <pic:cNvPicPr/>
                  </pic:nvPicPr>
                  <pic:blipFill>
                    <a:blip r:embed="rId16"/>
                    <a:stretch>
                      <a:fillRect/>
                    </a:stretch>
                  </pic:blipFill>
                  <pic:spPr>
                    <a:xfrm>
                      <a:off x="0" y="0"/>
                      <a:ext cx="5580000" cy="2965667"/>
                    </a:xfrm>
                    <a:prstGeom prst="rect"/>
                  </pic:spPr>
                </pic:pic>
              </a:graphicData>
            </a:graphic>
          </wp:inline>
        </w:drawing>
      </w:r>
    </w:p>
    <w:p>
      <w:pPr>
        <w:pStyle w:val="ListBullet"/>
      </w:pPr>
      <w:r>
        <w:t>Kili hops with sparkles and a check mark appears; “Continue” becomes the main button.</w:t>
      </w:r>
    </w:p>
    <w:p>
      <w:pPr>
        <w:pStyle w:val="ListBullet"/>
      </w:pPr>
      <w:r>
        <w:t>Three on-target attempts out of the last four move the learner up a level automatically.</w:t>
      </w:r>
    </w:p>
    <w:p>
      <w:pPr>
        <w:pStyle w:val="Heading2"/>
      </w:pPr>
      <w:r>
        <w:t>9. Feedback — honest “not sure” (Tamil ழ)</w:t>
      </w:r>
    </w:p>
    <w:p>
      <w:pPr>
        <w:keepNext w:val="0"/>
        <w:jc w:val="center"/>
      </w:pPr>
      <w:r>
        <w:drawing>
          <wp:inline xmlns:a="http://schemas.openxmlformats.org/drawingml/2006/main" xmlns:pic="http://schemas.openxmlformats.org/drawingml/2006/picture">
            <wp:extent cx="5580000" cy="3106889"/>
            <wp:docPr id="10" name="Picture 10"/>
            <wp:cNvGraphicFramePr>
              <a:graphicFrameLocks noChangeAspect="1"/>
            </wp:cNvGraphicFramePr>
            <a:graphic>
              <a:graphicData uri="http://schemas.openxmlformats.org/drawingml/2006/picture">
                <pic:pic>
                  <pic:nvPicPr>
                    <pic:cNvPr id="0" name="07_feedback_tamil.png"/>
                    <pic:cNvPicPr/>
                  </pic:nvPicPr>
                  <pic:blipFill>
                    <a:blip r:embed="rId17"/>
                    <a:stretch>
                      <a:fillRect/>
                    </a:stretch>
                  </pic:blipFill>
                  <pic:spPr>
                    <a:xfrm>
                      <a:off x="0" y="0"/>
                      <a:ext cx="5580000" cy="3106889"/>
                    </a:xfrm>
                    <a:prstGeom prst="rect"/>
                  </pic:spPr>
                </pic:pic>
              </a:graphicData>
            </a:graphic>
          </wp:inline>
        </w:drawing>
      </w:r>
    </w:p>
    <w:p>
      <w:pPr>
        <w:pStyle w:val="ListBullet"/>
      </w:pPr>
      <w:r>
        <w:t>For ழ, no check has yet proven reliable enough on its own, so the app says “not sure” instead of guessing.</w:t>
      </w:r>
    </w:p>
    <w:p>
      <w:pPr>
        <w:pStyle w:val="ListBullet"/>
      </w:pPr>
      <w:r>
        <w:t>It still shows what each check heard and gives a step to focus on. On the retry with a clear ழ, the app marked it on target.</w:t>
      </w:r>
    </w:p>
    <w:p>
      <w:pPr>
        <w:keepNext w:val="0"/>
      </w:pPr>
      <w:r>
        <w:rPr>
          <w:b/>
        </w:rPr>
        <w:t xml:space="preserve">Demo tip: </w:t>
      </w:r>
      <w:r>
        <w:rPr>
          <w:b w:val="0"/>
          <w:i w:val="0"/>
          <w:color w:val="4F5370"/>
          <w:sz w:val="19"/>
        </w:rPr>
        <w:t>Use this screen to show judges the system is honest about its limits.</w:t>
      </w:r>
    </w:p>
    <w:p>
      <w:r>
        <w:br w:type="page"/>
      </w:r>
    </w:p>
    <w:p>
      <w:pPr>
        <w:pStyle w:val="Heading2"/>
      </w:pPr>
      <w:r>
        <w:t>10. Sound guide</w:t>
      </w:r>
    </w:p>
    <w:p>
      <w:pPr>
        <w:keepNext w:val="0"/>
        <w:jc w:val="center"/>
      </w:pPr>
      <w:r>
        <w:drawing>
          <wp:inline xmlns:a="http://schemas.openxmlformats.org/drawingml/2006/main" xmlns:pic="http://schemas.openxmlformats.org/drawingml/2006/picture">
            <wp:extent cx="5040000" cy="6690483"/>
            <wp:docPr id="11" name="Picture 11"/>
            <wp:cNvGraphicFramePr>
              <a:graphicFrameLocks noChangeAspect="1"/>
            </wp:cNvGraphicFramePr>
            <a:graphic>
              <a:graphicData uri="http://schemas.openxmlformats.org/drawingml/2006/picture">
                <pic:pic>
                  <pic:nvPicPr>
                    <pic:cNvPr id="0" name="09_sound_guide.png"/>
                    <pic:cNvPicPr/>
                  </pic:nvPicPr>
                  <pic:blipFill>
                    <a:blip r:embed="rId18"/>
                    <a:stretch>
                      <a:fillRect/>
                    </a:stretch>
                  </pic:blipFill>
                  <pic:spPr>
                    <a:xfrm>
                      <a:off x="0" y="0"/>
                      <a:ext cx="5040000" cy="6690483"/>
                    </a:xfrm>
                    <a:prstGeom prst="rect"/>
                  </pic:spPr>
                </pic:pic>
              </a:graphicData>
            </a:graphic>
          </wp:inline>
        </w:drawing>
      </w:r>
    </w:p>
    <w:p>
      <w:pPr>
        <w:pStyle w:val="ListBullet"/>
      </w:pPr>
      <w:r>
        <w:t>How to make the sound, a large animated diagram, and every common mix-up with its own comparison and tip.</w:t>
      </w:r>
    </w:p>
    <w:p>
      <w:pPr>
        <w:pStyle w:val="ListBullet"/>
      </w:pPr>
      <w:r>
        <w:t>All five levels with their practice words; one button sets this sound as the focus.</w:t>
      </w:r>
    </w:p>
    <w:p>
      <w:r>
        <w:br w:type="page"/>
      </w:r>
    </w:p>
    <w:p>
      <w:pPr>
        <w:pStyle w:val="Heading2"/>
      </w:pPr>
      <w:r>
        <w:t>11. Dashboard</w:t>
      </w:r>
    </w:p>
    <w:p>
      <w:pPr>
        <w:keepNext w:val="0"/>
        <w:jc w:val="center"/>
      </w:pPr>
      <w:r>
        <w:drawing>
          <wp:inline xmlns:a="http://schemas.openxmlformats.org/drawingml/2006/main" xmlns:pic="http://schemas.openxmlformats.org/drawingml/2006/picture">
            <wp:extent cx="5400000" cy="4704246"/>
            <wp:docPr id="12" name="Picture 12"/>
            <wp:cNvGraphicFramePr>
              <a:graphicFrameLocks noChangeAspect="1"/>
            </wp:cNvGraphicFramePr>
            <a:graphic>
              <a:graphicData uri="http://schemas.openxmlformats.org/drawingml/2006/picture">
                <pic:pic>
                  <pic:nvPicPr>
                    <pic:cNvPr id="0" name="10_dashboard.png"/>
                    <pic:cNvPicPr/>
                  </pic:nvPicPr>
                  <pic:blipFill>
                    <a:blip r:embed="rId19"/>
                    <a:stretch>
                      <a:fillRect/>
                    </a:stretch>
                  </pic:blipFill>
                  <pic:spPr>
                    <a:xfrm>
                      <a:off x="0" y="0"/>
                      <a:ext cx="5400000" cy="4704246"/>
                    </a:xfrm>
                    <a:prstGeom prst="rect"/>
                  </pic:spPr>
                </pic:pic>
              </a:graphicData>
            </a:graphic>
          </wp:inline>
        </w:drawing>
      </w:r>
    </w:p>
    <w:p>
      <w:pPr>
        <w:pStyle w:val="ListBullet"/>
      </w:pPr>
      <w:r>
        <w:rPr>
          <w:b/>
        </w:rPr>
        <w:t xml:space="preserve">Current focus: </w:t>
      </w:r>
      <w:r>
        <w:t>a tilted sticker letter, a stepping-stone path for the 5 levels, and the next word.</w:t>
      </w:r>
    </w:p>
    <w:p>
      <w:pPr>
        <w:pStyle w:val="ListBullet"/>
      </w:pPr>
      <w:r>
        <w:rPr>
          <w:b/>
        </w:rPr>
        <w:t xml:space="preserve">Your sounds: </w:t>
      </w:r>
      <w:r>
        <w:t>status for every sound, with a button to switch focus.</w:t>
      </w:r>
    </w:p>
    <w:p>
      <w:pPr>
        <w:pStyle w:val="ListBullet"/>
      </w:pPr>
      <w:r>
        <w:rPr>
          <w:b/>
        </w:rPr>
        <w:t xml:space="preserve">Recent attempts: </w:t>
      </w:r>
      <w:r>
        <w:t>coloured dots for on target, mixed up and unsure, with a legend.</w:t>
      </w:r>
    </w:p>
    <w:p>
      <w:pPr>
        <w:pStyle w:val="ListBullet"/>
      </w:pPr>
      <w:r>
        <w:rPr>
          <w:b/>
        </w:rPr>
        <w:t xml:space="preserve">Status chips: </w:t>
      </w:r>
      <w:r>
        <w:t>show that Sarvam and the phoneme model are connected.</w:t>
      </w:r>
    </w:p>
    <w:p>
      <w:r>
        <w:br w:type="page"/>
      </w:r>
    </w:p>
    <w:p>
      <w:pPr>
        <w:pStyle w:val="Heading2"/>
      </w:pPr>
      <w:r>
        <w:t>12. Progress</w:t>
      </w:r>
    </w:p>
    <w:p>
      <w:pPr>
        <w:keepNext w:val="0"/>
        <w:jc w:val="center"/>
      </w:pPr>
      <w:r>
        <w:drawing>
          <wp:inline xmlns:a="http://schemas.openxmlformats.org/drawingml/2006/main" xmlns:pic="http://schemas.openxmlformats.org/drawingml/2006/picture">
            <wp:extent cx="5400000" cy="3810835"/>
            <wp:docPr id="13" name="Picture 13"/>
            <wp:cNvGraphicFramePr>
              <a:graphicFrameLocks noChangeAspect="1"/>
            </wp:cNvGraphicFramePr>
            <a:graphic>
              <a:graphicData uri="http://schemas.openxmlformats.org/drawingml/2006/picture">
                <pic:pic>
                  <pic:nvPicPr>
                    <pic:cNvPr id="0" name="11_progress.png"/>
                    <pic:cNvPicPr/>
                  </pic:nvPicPr>
                  <pic:blipFill>
                    <a:blip r:embed="rId20"/>
                    <a:stretch>
                      <a:fillRect/>
                    </a:stretch>
                  </pic:blipFill>
                  <pic:spPr>
                    <a:xfrm>
                      <a:off x="0" y="0"/>
                      <a:ext cx="5400000" cy="3810835"/>
                    </a:xfrm>
                    <a:prstGeom prst="rect"/>
                  </pic:spPr>
                </pic:pic>
              </a:graphicData>
            </a:graphic>
          </wp:inline>
        </w:drawing>
      </w:r>
    </w:p>
    <w:p>
      <w:pPr>
        <w:pStyle w:val="ListBullet"/>
      </w:pPr>
      <w:r>
        <w:t>Sessions, practice days and recordings, then one card per sound with its level path, on-target share and a daily bar chart that grows in.</w:t>
      </w:r>
    </w:p>
    <w:p>
      <w:pPr>
        <w:pStyle w:val="ListBullet"/>
      </w:pPr>
      <w:r>
        <w:t>Labelled as an app estimate of practice performance, not clinical improvement.</w:t>
      </w:r>
    </w:p>
    <w:p>
      <w:pPr>
        <w:pStyle w:val="Heading2"/>
      </w:pPr>
      <w:r>
        <w:t>13. Settings and measured accuracy</w:t>
      </w:r>
    </w:p>
    <w:p>
      <w:pPr>
        <w:keepNext w:val="0"/>
        <w:jc w:val="center"/>
      </w:pPr>
      <w:r>
        <w:drawing>
          <wp:inline xmlns:a="http://schemas.openxmlformats.org/drawingml/2006/main" xmlns:pic="http://schemas.openxmlformats.org/drawingml/2006/picture">
            <wp:extent cx="3960000" cy="5569898"/>
            <wp:docPr id="14" name="Picture 14"/>
            <wp:cNvGraphicFramePr>
              <a:graphicFrameLocks noChangeAspect="1"/>
            </wp:cNvGraphicFramePr>
            <a:graphic>
              <a:graphicData uri="http://schemas.openxmlformats.org/drawingml/2006/picture">
                <pic:pic>
                  <pic:nvPicPr>
                    <pic:cNvPr id="0" name="12_settings_accuracy.png"/>
                    <pic:cNvPicPr/>
                  </pic:nvPicPr>
                  <pic:blipFill>
                    <a:blip r:embed="rId21"/>
                    <a:stretch>
                      <a:fillRect/>
                    </a:stretch>
                  </pic:blipFill>
                  <pic:spPr>
                    <a:xfrm>
                      <a:off x="0" y="0"/>
                      <a:ext cx="3960000" cy="5569898"/>
                    </a:xfrm>
                    <a:prstGeom prst="rect"/>
                  </pic:spPr>
                </pic:pic>
              </a:graphicData>
            </a:graphic>
          </wp:inline>
        </w:drawing>
      </w:r>
    </w:p>
    <w:p>
      <w:pPr>
        <w:pStyle w:val="ListBullet"/>
      </w:pPr>
      <w:r>
        <w:t>Profile, feedback style and recording consent; delete all data in one step.</w:t>
      </w:r>
    </w:p>
    <w:p>
      <w:pPr>
        <w:pStyle w:val="ListBullet"/>
      </w:pPr>
      <w:r>
        <w:t>The measured-accuracy table shows how often the final verdict and each check were right for each sound.</w:t>
      </w:r>
    </w:p>
    <w:p>
      <w:r>
        <w:br w:type="page"/>
      </w:r>
    </w:p>
    <w:p>
      <w:pPr>
        <w:pStyle w:val="Heading2"/>
      </w:pPr>
      <w:r>
        <w:t>14. On a phone</w:t>
      </w:r>
    </w:p>
    <w:tbl>
      <w:tblPr>
        <w:tblW w:type="auto" w:w="0"/>
        <w:jc w:val="center"/>
        <w:tblLook w:firstColumn="1" w:firstRow="1" w:lastColumn="0" w:lastRow="0" w:noHBand="0" w:noVBand="1" w:val="04A0"/>
      </w:tblPr>
      <w:tblGrid>
        <w:gridCol w:w="3213"/>
        <w:gridCol w:w="3213"/>
        <w:gridCol w:w="3213"/>
      </w:tblGrid>
      <w:tr>
        <w:tc>
          <w:tcPr>
            <w:tcW w:type="dxa" w:w="3175"/>
          </w:tcPr>
          <w:p>
            <w:pPr>
              <w:jc w:val="center"/>
            </w:pPr>
            <w:r>
              <w:drawing>
                <wp:inline xmlns:a="http://schemas.openxmlformats.org/drawingml/2006/main" xmlns:pic="http://schemas.openxmlformats.org/drawingml/2006/picture">
                  <wp:extent cx="1872000" cy="4051200"/>
                  <wp:docPr id="15" name="Picture 15"/>
                  <wp:cNvGraphicFramePr>
                    <a:graphicFrameLocks noChangeAspect="1"/>
                  </wp:cNvGraphicFramePr>
                  <a:graphic>
                    <a:graphicData uri="http://schemas.openxmlformats.org/drawingml/2006/picture">
                      <pic:pic>
                        <pic:nvPicPr>
                          <pic:cNvPr id="0" name="17_mobile_landing.png"/>
                          <pic:cNvPicPr/>
                        </pic:nvPicPr>
                        <pic:blipFill>
                          <a:blip r:embed="rId22"/>
                          <a:stretch>
                            <a:fillRect/>
                          </a:stretch>
                        </pic:blipFill>
                        <pic:spPr>
                          <a:xfrm>
                            <a:off x="0" y="0"/>
                            <a:ext cx="1872000" cy="4051200"/>
                          </a:xfrm>
                          <a:prstGeom prst="rect"/>
                        </pic:spPr>
                      </pic:pic>
                    </a:graphicData>
                  </a:graphic>
                </wp:inline>
              </w:drawing>
            </w:r>
          </w:p>
        </w:tc>
        <w:tc>
          <w:tcPr>
            <w:tcW w:type="dxa" w:w="3175"/>
          </w:tcPr>
          <w:p>
            <w:pPr>
              <w:jc w:val="center"/>
            </w:pPr>
            <w:r>
              <w:drawing>
                <wp:inline xmlns:a="http://schemas.openxmlformats.org/drawingml/2006/main" xmlns:pic="http://schemas.openxmlformats.org/drawingml/2006/picture">
                  <wp:extent cx="1872000" cy="4051200"/>
                  <wp:docPr id="16" name="Picture 16"/>
                  <wp:cNvGraphicFramePr>
                    <a:graphicFrameLocks noChangeAspect="1"/>
                  </wp:cNvGraphicFramePr>
                  <a:graphic>
                    <a:graphicData uri="http://schemas.openxmlformats.org/drawingml/2006/picture">
                      <pic:pic>
                        <pic:nvPicPr>
                          <pic:cNvPr id="0" name="15_mobile_practice.png"/>
                          <pic:cNvPicPr/>
                        </pic:nvPicPr>
                        <pic:blipFill>
                          <a:blip r:embed="rId23"/>
                          <a:stretch>
                            <a:fillRect/>
                          </a:stretch>
                        </pic:blipFill>
                        <pic:spPr>
                          <a:xfrm>
                            <a:off x="0" y="0"/>
                            <a:ext cx="1872000" cy="4051200"/>
                          </a:xfrm>
                          <a:prstGeom prst="rect"/>
                        </pic:spPr>
                      </pic:pic>
                    </a:graphicData>
                  </a:graphic>
                </wp:inline>
              </w:drawing>
            </w:r>
          </w:p>
        </w:tc>
        <w:tc>
          <w:tcPr>
            <w:tcW w:type="dxa" w:w="3175"/>
          </w:tcPr>
          <w:p>
            <w:pPr>
              <w:jc w:val="center"/>
            </w:pPr>
            <w:r>
              <w:drawing>
                <wp:inline xmlns:a="http://schemas.openxmlformats.org/drawingml/2006/main" xmlns:pic="http://schemas.openxmlformats.org/drawingml/2006/picture">
                  <wp:extent cx="1872000" cy="4051200"/>
                  <wp:docPr id="17" name="Picture 17"/>
                  <wp:cNvGraphicFramePr>
                    <a:graphicFrameLocks noChangeAspect="1"/>
                  </wp:cNvGraphicFramePr>
                  <a:graphic>
                    <a:graphicData uri="http://schemas.openxmlformats.org/drawingml/2006/picture">
                      <pic:pic>
                        <pic:nvPicPr>
                          <pic:cNvPr id="0" name="16_mobile_dashboard.png"/>
                          <pic:cNvPicPr/>
                        </pic:nvPicPr>
                        <pic:blipFill>
                          <a:blip r:embed="rId24"/>
                          <a:stretch>
                            <a:fillRect/>
                          </a:stretch>
                        </pic:blipFill>
                        <pic:spPr>
                          <a:xfrm>
                            <a:off x="0" y="0"/>
                            <a:ext cx="1872000" cy="4051200"/>
                          </a:xfrm>
                          <a:prstGeom prst="rect"/>
                        </pic:spPr>
                      </pic:pic>
                    </a:graphicData>
                  </a:graphic>
                </wp:inline>
              </w:drawing>
            </w:r>
          </w:p>
        </w:tc>
      </w:tr>
      <w:tr>
        <w:tc>
          <w:tcPr>
            <w:tcW w:type="dxa" w:w="3213"/>
          </w:tcPr>
          <w:p>
            <w:pPr>
              <w:jc w:val="center"/>
            </w:pPr>
            <w:r/>
            <w:r>
              <w:rPr>
                <w:i/>
                <w:sz w:val="18"/>
              </w:rPr>
              <w:t>Landing</w:t>
            </w:r>
          </w:p>
        </w:tc>
        <w:tc>
          <w:tcPr>
            <w:tcW w:type="dxa" w:w="3213"/>
          </w:tcPr>
          <w:p>
            <w:pPr>
              <w:jc w:val="center"/>
            </w:pPr>
            <w:r/>
            <w:r>
              <w:rPr>
                <w:i/>
                <w:sz w:val="18"/>
              </w:rPr>
              <w:t>Practice</w:t>
            </w:r>
          </w:p>
        </w:tc>
        <w:tc>
          <w:tcPr>
            <w:tcW w:type="dxa" w:w="3213"/>
          </w:tcPr>
          <w:p>
            <w:pPr>
              <w:jc w:val="center"/>
            </w:pPr>
            <w:r/>
            <w:r>
              <w:rPr>
                <w:i/>
                <w:sz w:val="18"/>
              </w:rPr>
              <w:t>Dashboard</w:t>
            </w:r>
          </w:p>
        </w:tc>
      </w:tr>
    </w:tbl>
    <w:p/>
    <w:p>
      <w:pPr>
        <w:pStyle w:val="ListBullet"/>
      </w:pPr>
      <w:r>
        <w:t>Every screen fits a 390-px phone with no sideways scrolling; the navigation becomes one compact row.</w:t>
      </w:r>
    </w:p>
    <w:p>
      <w:pPr>
        <w:pStyle w:val="ListBullet"/>
      </w:pPr>
      <w:r>
        <w:t>Buttons are at least 48 px tall for easy tapping.</w:t>
      </w:r>
    </w:p>
    <w:p>
      <w:r>
        <w:br w:type="page"/>
      </w:r>
    </w:p>
    <w:p>
      <w:pPr>
        <w:pStyle w:val="Heading1"/>
      </w:pPr>
      <w:r>
        <w:t>Measured accuracy</w:t>
      </w:r>
    </w:p>
    <w:p>
      <w:pPr>
        <w:keepNext w:val="0"/>
      </w:pPr>
      <w:r>
        <w:rPr>
          <w:b w:val="0"/>
          <w:i w:val="0"/>
        </w:rPr>
        <w:t>Measured on 1,218 clips: every practice word at levels 1–3, said correctly and with each common mix-up, by 6 Sarvam voices. The voice comparison never compares a clip against its own voice.</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color="auto" w:fill="FFD93D"/>
          </w:tcPr>
          <w:p>
            <w:pPr>
              <w:keepNext/>
              <w:spacing w:after="20"/>
            </w:pPr>
            <w:r>
              <w:rPr>
                <w:sz w:val="19"/>
              </w:rPr>
            </w:r>
            <w:r>
              <w:rPr>
                <w:b/>
                <w:sz w:val="19"/>
              </w:rPr>
              <w:t>Sound</w:t>
            </w:r>
          </w:p>
        </w:tc>
        <w:tc>
          <w:tcPr>
            <w:tcW w:type="dxa" w:w="1928"/>
            <w:shd w:val="clear" w:color="auto" w:fill="FFD93D"/>
          </w:tcPr>
          <w:p>
            <w:pPr>
              <w:keepNext/>
              <w:spacing w:after="20"/>
            </w:pPr>
            <w:r>
              <w:rPr>
                <w:sz w:val="19"/>
              </w:rPr>
            </w:r>
            <w:r>
              <w:rPr>
                <w:b/>
                <w:sz w:val="19"/>
              </w:rPr>
              <w:t>Final verdict right</w:t>
            </w:r>
          </w:p>
        </w:tc>
        <w:tc>
          <w:tcPr>
            <w:tcW w:type="dxa" w:w="1247"/>
            <w:shd w:val="clear" w:color="auto" w:fill="FFD93D"/>
          </w:tcPr>
          <w:p>
            <w:pPr>
              <w:keepNext/>
              <w:spacing w:after="20"/>
            </w:pPr>
            <w:r>
              <w:rPr>
                <w:sz w:val="19"/>
              </w:rPr>
            </w:r>
            <w:r>
              <w:rPr>
                <w:b/>
                <w:sz w:val="19"/>
              </w:rPr>
              <w:t>Wrong</w:t>
            </w:r>
          </w:p>
        </w:tc>
        <w:tc>
          <w:tcPr>
            <w:tcW w:type="dxa" w:w="1474"/>
            <w:shd w:val="clear" w:color="auto" w:fill="FFD93D"/>
          </w:tcPr>
          <w:p>
            <w:pPr>
              <w:keepNext/>
              <w:spacing w:after="20"/>
            </w:pPr>
            <w:r>
              <w:rPr>
                <w:sz w:val="19"/>
              </w:rPr>
            </w:r>
            <w:r>
              <w:rPr>
                <w:b/>
                <w:sz w:val="19"/>
              </w:rPr>
              <w:t>“Not sure”</w:t>
            </w:r>
          </w:p>
        </w:tc>
        <w:tc>
          <w:tcPr>
            <w:tcW w:type="dxa" w:w="3061"/>
            <w:shd w:val="clear" w:color="auto" w:fill="FFD93D"/>
          </w:tcPr>
          <w:p>
            <w:pPr>
              <w:keepNext/>
              <w:spacing w:after="20"/>
            </w:pPr>
            <w:r>
              <w:rPr>
                <w:sz w:val="19"/>
              </w:rPr>
            </w:r>
            <w:r>
              <w:rPr>
                <w:b/>
                <w:sz w:val="19"/>
              </w:rPr>
              <w:t>Right when it made a call</w:t>
            </w:r>
          </w:p>
        </w:tc>
      </w:tr>
      <w:tr>
        <w:tc>
          <w:tcPr>
            <w:tcW w:type="dxa" w:w="1928"/>
          </w:tcPr>
          <w:p>
            <w:pPr>
              <w:spacing w:after="20"/>
            </w:pPr>
            <w:r>
              <w:rPr>
                <w:sz w:val="19"/>
              </w:rPr>
            </w:r>
            <w:r>
              <w:rPr>
                <w:sz w:val="19"/>
              </w:rPr>
              <w:t>श (sha)</w:t>
            </w:r>
          </w:p>
        </w:tc>
        <w:tc>
          <w:tcPr>
            <w:tcW w:type="dxa" w:w="1928"/>
          </w:tcPr>
          <w:p>
            <w:pPr>
              <w:spacing w:after="20"/>
            </w:pPr>
            <w:r>
              <w:rPr>
                <w:sz w:val="19"/>
              </w:rPr>
            </w:r>
            <w:r>
              <w:rPr>
                <w:sz w:val="19"/>
              </w:rPr>
              <w:t>95%</w:t>
            </w:r>
          </w:p>
        </w:tc>
        <w:tc>
          <w:tcPr>
            <w:tcW w:type="dxa" w:w="1247"/>
          </w:tcPr>
          <w:p>
            <w:pPr>
              <w:spacing w:after="20"/>
            </w:pPr>
            <w:r>
              <w:rPr>
                <w:sz w:val="19"/>
              </w:rPr>
            </w:r>
            <w:r>
              <w:rPr>
                <w:sz w:val="19"/>
              </w:rPr>
              <w:t>5%</w:t>
            </w:r>
          </w:p>
        </w:tc>
        <w:tc>
          <w:tcPr>
            <w:tcW w:type="dxa" w:w="1474"/>
          </w:tcPr>
          <w:p>
            <w:pPr>
              <w:spacing w:after="20"/>
            </w:pPr>
            <w:r>
              <w:rPr>
                <w:sz w:val="19"/>
              </w:rPr>
            </w:r>
            <w:r>
              <w:rPr>
                <w:sz w:val="19"/>
              </w:rPr>
              <w:t>0%</w:t>
            </w:r>
          </w:p>
        </w:tc>
        <w:tc>
          <w:tcPr>
            <w:tcW w:type="dxa" w:w="3061"/>
          </w:tcPr>
          <w:p>
            <w:pPr>
              <w:spacing w:after="20"/>
            </w:pPr>
            <w:r>
              <w:rPr>
                <w:sz w:val="19"/>
              </w:rPr>
            </w:r>
            <w:r>
              <w:rPr>
                <w:sz w:val="19"/>
              </w:rPr>
              <w:t>95%</w:t>
            </w:r>
          </w:p>
        </w:tc>
      </w:tr>
      <w:tr>
        <w:tc>
          <w:tcPr>
            <w:tcW w:type="dxa" w:w="1928"/>
            <w:shd w:val="clear" w:color="auto" w:fill="F7F5FB"/>
          </w:tcPr>
          <w:p>
            <w:pPr>
              <w:spacing w:after="20"/>
            </w:pPr>
            <w:r>
              <w:rPr>
                <w:sz w:val="19"/>
              </w:rPr>
            </w:r>
            <w:r>
              <w:rPr>
                <w:sz w:val="19"/>
              </w:rPr>
              <w:t>र (ra, Hindi)</w:t>
            </w:r>
          </w:p>
        </w:tc>
        <w:tc>
          <w:tcPr>
            <w:tcW w:type="dxa" w:w="1928"/>
            <w:shd w:val="clear" w:color="auto" w:fill="F7F5FB"/>
          </w:tcPr>
          <w:p>
            <w:pPr>
              <w:spacing w:after="20"/>
            </w:pPr>
            <w:r>
              <w:rPr>
                <w:sz w:val="19"/>
              </w:rPr>
            </w:r>
            <w:r>
              <w:rPr>
                <w:sz w:val="19"/>
              </w:rPr>
              <w:t>80%</w:t>
            </w:r>
          </w:p>
        </w:tc>
        <w:tc>
          <w:tcPr>
            <w:tcW w:type="dxa" w:w="1247"/>
            <w:shd w:val="clear" w:color="auto" w:fill="F7F5FB"/>
          </w:tcPr>
          <w:p>
            <w:pPr>
              <w:spacing w:after="20"/>
            </w:pPr>
            <w:r>
              <w:rPr>
                <w:sz w:val="19"/>
              </w:rPr>
            </w:r>
            <w:r>
              <w:rPr>
                <w:sz w:val="19"/>
              </w:rPr>
              <w:t>20%</w:t>
            </w:r>
          </w:p>
        </w:tc>
        <w:tc>
          <w:tcPr>
            <w:tcW w:type="dxa" w:w="1474"/>
            <w:shd w:val="clear" w:color="auto" w:fill="F7F5FB"/>
          </w:tcPr>
          <w:p>
            <w:pPr>
              <w:spacing w:after="20"/>
            </w:pPr>
            <w:r>
              <w:rPr>
                <w:sz w:val="19"/>
              </w:rPr>
            </w:r>
            <w:r>
              <w:rPr>
                <w:sz w:val="19"/>
              </w:rPr>
              <w:t>0%</w:t>
            </w:r>
          </w:p>
        </w:tc>
        <w:tc>
          <w:tcPr>
            <w:tcW w:type="dxa" w:w="3061"/>
            <w:shd w:val="clear" w:color="auto" w:fill="F7F5FB"/>
          </w:tcPr>
          <w:p>
            <w:pPr>
              <w:spacing w:after="20"/>
            </w:pPr>
            <w:r>
              <w:rPr>
                <w:sz w:val="19"/>
              </w:rPr>
            </w:r>
            <w:r>
              <w:rPr>
                <w:sz w:val="19"/>
              </w:rPr>
              <w:t>80%</w:t>
            </w:r>
          </w:p>
        </w:tc>
      </w:tr>
      <w:tr>
        <w:tc>
          <w:tcPr>
            <w:tcW w:type="dxa" w:w="1928"/>
          </w:tcPr>
          <w:p>
            <w:pPr>
              <w:spacing w:after="20"/>
            </w:pPr>
            <w:r>
              <w:rPr>
                <w:sz w:val="19"/>
              </w:rPr>
            </w:r>
            <w:r>
              <w:rPr>
                <w:sz w:val="19"/>
              </w:rPr>
              <w:t>ர (ra, Tamil)</w:t>
            </w:r>
          </w:p>
        </w:tc>
        <w:tc>
          <w:tcPr>
            <w:tcW w:type="dxa" w:w="1928"/>
          </w:tcPr>
          <w:p>
            <w:pPr>
              <w:spacing w:after="20"/>
            </w:pPr>
            <w:r>
              <w:rPr>
                <w:sz w:val="19"/>
              </w:rPr>
            </w:r>
            <w:r>
              <w:rPr>
                <w:sz w:val="19"/>
              </w:rPr>
              <w:t>75%</w:t>
            </w:r>
          </w:p>
        </w:tc>
        <w:tc>
          <w:tcPr>
            <w:tcW w:type="dxa" w:w="1247"/>
          </w:tcPr>
          <w:p>
            <w:pPr>
              <w:spacing w:after="20"/>
            </w:pPr>
            <w:r>
              <w:rPr>
                <w:sz w:val="19"/>
              </w:rPr>
            </w:r>
            <w:r>
              <w:rPr>
                <w:sz w:val="19"/>
              </w:rPr>
              <w:t>25%</w:t>
            </w:r>
          </w:p>
        </w:tc>
        <w:tc>
          <w:tcPr>
            <w:tcW w:type="dxa" w:w="1474"/>
          </w:tcPr>
          <w:p>
            <w:pPr>
              <w:spacing w:after="20"/>
            </w:pPr>
            <w:r>
              <w:rPr>
                <w:sz w:val="19"/>
              </w:rPr>
            </w:r>
            <w:r>
              <w:rPr>
                <w:sz w:val="19"/>
              </w:rPr>
              <w:t>1%</w:t>
            </w:r>
          </w:p>
        </w:tc>
        <w:tc>
          <w:tcPr>
            <w:tcW w:type="dxa" w:w="3061"/>
          </w:tcPr>
          <w:p>
            <w:pPr>
              <w:spacing w:after="20"/>
            </w:pPr>
            <w:r>
              <w:rPr>
                <w:sz w:val="19"/>
              </w:rPr>
            </w:r>
            <w:r>
              <w:rPr>
                <w:sz w:val="19"/>
              </w:rPr>
              <w:t>75%</w:t>
            </w:r>
          </w:p>
        </w:tc>
      </w:tr>
      <w:tr>
        <w:tc>
          <w:tcPr>
            <w:tcW w:type="dxa" w:w="1928"/>
            <w:shd w:val="clear" w:color="auto" w:fill="F7F5FB"/>
          </w:tcPr>
          <w:p>
            <w:pPr>
              <w:spacing w:after="20"/>
            </w:pPr>
            <w:r>
              <w:rPr>
                <w:sz w:val="19"/>
              </w:rPr>
            </w:r>
            <w:r>
              <w:rPr>
                <w:sz w:val="19"/>
              </w:rPr>
              <w:t>ख (kha)</w:t>
            </w:r>
          </w:p>
        </w:tc>
        <w:tc>
          <w:tcPr>
            <w:tcW w:type="dxa" w:w="1928"/>
            <w:shd w:val="clear" w:color="auto" w:fill="F7F5FB"/>
          </w:tcPr>
          <w:p>
            <w:pPr>
              <w:spacing w:after="20"/>
            </w:pPr>
            <w:r>
              <w:rPr>
                <w:sz w:val="19"/>
              </w:rPr>
            </w:r>
            <w:r>
              <w:rPr>
                <w:sz w:val="19"/>
              </w:rPr>
              <w:t>74%</w:t>
            </w:r>
          </w:p>
        </w:tc>
        <w:tc>
          <w:tcPr>
            <w:tcW w:type="dxa" w:w="1247"/>
            <w:shd w:val="clear" w:color="auto" w:fill="F7F5FB"/>
          </w:tcPr>
          <w:p>
            <w:pPr>
              <w:spacing w:after="20"/>
            </w:pPr>
            <w:r>
              <w:rPr>
                <w:sz w:val="19"/>
              </w:rPr>
            </w:r>
            <w:r>
              <w:rPr>
                <w:sz w:val="19"/>
              </w:rPr>
              <w:t>23%</w:t>
            </w:r>
          </w:p>
        </w:tc>
        <w:tc>
          <w:tcPr>
            <w:tcW w:type="dxa" w:w="1474"/>
            <w:shd w:val="clear" w:color="auto" w:fill="F7F5FB"/>
          </w:tcPr>
          <w:p>
            <w:pPr>
              <w:spacing w:after="20"/>
            </w:pPr>
            <w:r>
              <w:rPr>
                <w:sz w:val="19"/>
              </w:rPr>
            </w:r>
            <w:r>
              <w:rPr>
                <w:sz w:val="19"/>
              </w:rPr>
              <w:t>2%</w:t>
            </w:r>
          </w:p>
        </w:tc>
        <w:tc>
          <w:tcPr>
            <w:tcW w:type="dxa" w:w="3061"/>
            <w:shd w:val="clear" w:color="auto" w:fill="F7F5FB"/>
          </w:tcPr>
          <w:p>
            <w:pPr>
              <w:spacing w:after="20"/>
            </w:pPr>
            <w:r>
              <w:rPr>
                <w:sz w:val="19"/>
              </w:rPr>
            </w:r>
            <w:r>
              <w:rPr>
                <w:sz w:val="19"/>
              </w:rPr>
              <w:t>76%</w:t>
            </w:r>
          </w:p>
        </w:tc>
      </w:tr>
      <w:tr>
        <w:tc>
          <w:tcPr>
            <w:tcW w:type="dxa" w:w="1928"/>
          </w:tcPr>
          <w:p>
            <w:pPr>
              <w:spacing w:after="20"/>
            </w:pPr>
            <w:r>
              <w:rPr>
                <w:sz w:val="19"/>
              </w:rPr>
            </w:r>
            <w:r>
              <w:rPr>
                <w:sz w:val="19"/>
              </w:rPr>
              <w:t>ழ (zha)</w:t>
            </w:r>
          </w:p>
        </w:tc>
        <w:tc>
          <w:tcPr>
            <w:tcW w:type="dxa" w:w="1928"/>
          </w:tcPr>
          <w:p>
            <w:pPr>
              <w:spacing w:after="20"/>
            </w:pPr>
            <w:r>
              <w:rPr>
                <w:sz w:val="19"/>
              </w:rPr>
            </w:r>
            <w:r>
              <w:rPr>
                <w:sz w:val="19"/>
              </w:rPr>
              <w:t>30%</w:t>
            </w:r>
          </w:p>
        </w:tc>
        <w:tc>
          <w:tcPr>
            <w:tcW w:type="dxa" w:w="1247"/>
          </w:tcPr>
          <w:p>
            <w:pPr>
              <w:spacing w:after="20"/>
            </w:pPr>
            <w:r>
              <w:rPr>
                <w:sz w:val="19"/>
              </w:rPr>
            </w:r>
            <w:r>
              <w:rPr>
                <w:sz w:val="19"/>
              </w:rPr>
              <w:t>10%</w:t>
            </w:r>
          </w:p>
        </w:tc>
        <w:tc>
          <w:tcPr>
            <w:tcW w:type="dxa" w:w="1474"/>
          </w:tcPr>
          <w:p>
            <w:pPr>
              <w:spacing w:after="20"/>
            </w:pPr>
            <w:r>
              <w:rPr>
                <w:sz w:val="19"/>
              </w:rPr>
            </w:r>
            <w:r>
              <w:rPr>
                <w:sz w:val="19"/>
              </w:rPr>
              <w:t>60%</w:t>
            </w:r>
          </w:p>
        </w:tc>
        <w:tc>
          <w:tcPr>
            <w:tcW w:type="dxa" w:w="3061"/>
          </w:tcPr>
          <w:p>
            <w:pPr>
              <w:spacing w:after="20"/>
            </w:pPr>
            <w:r>
              <w:rPr>
                <w:sz w:val="19"/>
              </w:rPr>
            </w:r>
            <w:r>
              <w:rPr>
                <w:sz w:val="19"/>
              </w:rPr>
              <w:t>76%</w:t>
            </w:r>
          </w:p>
        </w:tc>
      </w:tr>
      <w:tr>
        <w:tc>
          <w:tcPr>
            <w:tcW w:type="dxa" w:w="1928"/>
            <w:shd w:val="clear" w:color="auto" w:fill="F7F5FB"/>
          </w:tcPr>
          <w:p>
            <w:pPr>
              <w:spacing w:after="20"/>
            </w:pPr>
            <w:r>
              <w:rPr>
                <w:sz w:val="19"/>
              </w:rPr>
            </w:r>
            <w:r>
              <w:rPr>
                <w:sz w:val="19"/>
              </w:rPr>
              <w:t>ள (La)</w:t>
            </w:r>
          </w:p>
        </w:tc>
        <w:tc>
          <w:tcPr>
            <w:tcW w:type="dxa" w:w="1928"/>
            <w:shd w:val="clear" w:color="auto" w:fill="F7F5FB"/>
          </w:tcPr>
          <w:p>
            <w:pPr>
              <w:spacing w:after="20"/>
            </w:pPr>
            <w:r>
              <w:rPr>
                <w:sz w:val="19"/>
              </w:rPr>
            </w:r>
            <w:r>
              <w:rPr>
                <w:sz w:val="19"/>
              </w:rPr>
              <w:t>0%</w:t>
            </w:r>
          </w:p>
        </w:tc>
        <w:tc>
          <w:tcPr>
            <w:tcW w:type="dxa" w:w="1247"/>
            <w:shd w:val="clear" w:color="auto" w:fill="F7F5FB"/>
          </w:tcPr>
          <w:p>
            <w:pPr>
              <w:spacing w:after="20"/>
            </w:pPr>
            <w:r>
              <w:rPr>
                <w:sz w:val="19"/>
              </w:rPr>
            </w:r>
            <w:r>
              <w:rPr>
                <w:sz w:val="19"/>
              </w:rPr>
              <w:t>0%</w:t>
            </w:r>
          </w:p>
        </w:tc>
        <w:tc>
          <w:tcPr>
            <w:tcW w:type="dxa" w:w="1474"/>
            <w:shd w:val="clear" w:color="auto" w:fill="F7F5FB"/>
          </w:tcPr>
          <w:p>
            <w:pPr>
              <w:spacing w:after="20"/>
            </w:pPr>
            <w:r>
              <w:rPr>
                <w:sz w:val="19"/>
              </w:rPr>
            </w:r>
            <w:r>
              <w:rPr>
                <w:sz w:val="19"/>
              </w:rPr>
              <w:t>100%</w:t>
            </w:r>
          </w:p>
        </w:tc>
        <w:tc>
          <w:tcPr>
            <w:tcW w:type="dxa" w:w="3061"/>
            <w:shd w:val="clear" w:color="auto" w:fill="F7F5FB"/>
          </w:tcPr>
          <w:p>
            <w:pPr>
              <w:spacing w:after="20"/>
            </w:pPr>
            <w:r>
              <w:rPr>
                <w:sz w:val="19"/>
              </w:rPr>
            </w:r>
            <w:r>
              <w:rPr>
                <w:sz w:val="19"/>
              </w:rPr>
              <w:t>—</w:t>
            </w:r>
          </w:p>
        </w:tc>
      </w:tr>
    </w:tbl>
    <w:p/>
    <w:p>
      <w:pPr>
        <w:pStyle w:val="ListBullet"/>
      </w:pPr>
      <w:r>
        <w:rPr>
          <w:b/>
        </w:rPr>
        <w:t xml:space="preserve">Best case: </w:t>
      </w:r>
      <w:r>
        <w:t>these are synthetic voices, so real learners will score lower; the accuracy needs checking with native speakers.</w:t>
      </w:r>
    </w:p>
    <w:p>
      <w:pPr>
        <w:pStyle w:val="ListBullet"/>
      </w:pPr>
      <w:r>
        <w:rPr>
          <w:b/>
        </w:rPr>
        <w:t xml:space="preserve">Optimistic for the final verdict: </w:t>
      </w:r>
      <w:r>
        <w:t>the confidence weights were learned from the same clips they are tested on.</w:t>
      </w:r>
    </w:p>
    <w:p>
      <w:pPr>
        <w:pStyle w:val="ListBullet"/>
      </w:pPr>
      <w:r>
        <w:rPr>
          <w:b/>
        </w:rPr>
        <w:t xml:space="preserve">Tamil ழ and ள are the hardest: </w:t>
      </w:r>
      <w:r>
        <w:t>the app mostly says “not sure” for them — the honest behaviour — until real recordings improve the models.</w:t>
      </w:r>
    </w:p>
    <w:p>
      <w:pPr>
        <w:pStyle w:val="Heading1"/>
      </w:pPr>
      <w:r>
        <w:t>Three-minute demo script</w:t>
      </w:r>
    </w:p>
    <w:tbl>
      <w:tblPr>
        <w:tblStyle w:val="TableGrid"/>
        <w:tblW w:type="auto" w:w="0"/>
        <w:jc w:val="center"/>
        <w:tblLook w:firstColumn="1" w:firstRow="1" w:lastColumn="0" w:lastRow="0" w:noHBand="0" w:noVBand="1" w:val="04A0"/>
      </w:tblPr>
      <w:tblGrid>
        <w:gridCol w:w="3213"/>
        <w:gridCol w:w="3213"/>
        <w:gridCol w:w="3213"/>
      </w:tblGrid>
      <w:tr>
        <w:tc>
          <w:tcPr>
            <w:tcW w:type="dxa" w:w="907"/>
            <w:shd w:val="clear" w:color="auto" w:fill="FFD93D"/>
          </w:tcPr>
          <w:p>
            <w:pPr>
              <w:keepNext/>
              <w:spacing w:after="20"/>
            </w:pPr>
            <w:r>
              <w:rPr>
                <w:sz w:val="19"/>
              </w:rPr>
            </w:r>
            <w:r>
              <w:rPr>
                <w:b/>
                <w:sz w:val="19"/>
              </w:rPr>
              <w:t>Time</w:t>
            </w:r>
          </w:p>
        </w:tc>
        <w:tc>
          <w:tcPr>
            <w:tcW w:type="dxa" w:w="2835"/>
            <w:shd w:val="clear" w:color="auto" w:fill="FFD93D"/>
          </w:tcPr>
          <w:p>
            <w:pPr>
              <w:keepNext/>
              <w:spacing w:after="20"/>
            </w:pPr>
            <w:r>
              <w:rPr>
                <w:sz w:val="19"/>
              </w:rPr>
            </w:r>
            <w:r>
              <w:rPr>
                <w:b/>
                <w:sz w:val="19"/>
              </w:rPr>
              <w:t>Show</w:t>
            </w:r>
          </w:p>
        </w:tc>
        <w:tc>
          <w:tcPr>
            <w:tcW w:type="dxa" w:w="5896"/>
            <w:shd w:val="clear" w:color="auto" w:fill="FFD93D"/>
          </w:tcPr>
          <w:p>
            <w:pPr>
              <w:keepNext/>
              <w:spacing w:after="20"/>
            </w:pPr>
            <w:r>
              <w:rPr>
                <w:sz w:val="19"/>
              </w:rPr>
            </w:r>
            <w:r>
              <w:rPr>
                <w:b/>
                <w:sz w:val="19"/>
              </w:rPr>
              <w:t>Say</w:t>
            </w:r>
          </w:p>
        </w:tc>
      </w:tr>
      <w:tr>
        <w:tc>
          <w:tcPr>
            <w:tcW w:type="dxa" w:w="907"/>
          </w:tcPr>
          <w:p>
            <w:pPr>
              <w:spacing w:after="20"/>
            </w:pPr>
            <w:r>
              <w:rPr>
                <w:sz w:val="19"/>
              </w:rPr>
            </w:r>
            <w:r>
              <w:rPr>
                <w:sz w:val="19"/>
              </w:rPr>
              <w:t>0:00</w:t>
            </w:r>
          </w:p>
        </w:tc>
        <w:tc>
          <w:tcPr>
            <w:tcW w:type="dxa" w:w="2835"/>
          </w:tcPr>
          <w:p>
            <w:pPr>
              <w:spacing w:after="20"/>
            </w:pPr>
            <w:r>
              <w:rPr>
                <w:sz w:val="19"/>
              </w:rPr>
            </w:r>
            <w:r>
              <w:rPr>
                <w:sz w:val="19"/>
              </w:rPr>
              <w:t>Landing page</w:t>
            </w:r>
          </w:p>
        </w:tc>
        <w:tc>
          <w:tcPr>
            <w:tcW w:type="dxa" w:w="5896"/>
          </w:tcPr>
          <w:p>
            <w:pPr>
              <w:spacing w:after="20"/>
            </w:pPr>
            <w:r>
              <w:rPr>
                <w:sz w:val="19"/>
              </w:rPr>
            </w:r>
            <w:r>
              <w:rPr>
                <w:sz w:val="19"/>
              </w:rPr>
              <w:t>“Half of India speaks Hindi or Tamil, but speech apps only cover English sounds.”</w:t>
            </w:r>
          </w:p>
        </w:tc>
      </w:tr>
      <w:tr>
        <w:tc>
          <w:tcPr>
            <w:tcW w:type="dxa" w:w="907"/>
            <w:shd w:val="clear" w:color="auto" w:fill="F7F5FB"/>
          </w:tcPr>
          <w:p>
            <w:pPr>
              <w:spacing w:after="20"/>
            </w:pPr>
            <w:r>
              <w:rPr>
                <w:sz w:val="19"/>
              </w:rPr>
            </w:r>
            <w:r>
              <w:rPr>
                <w:sz w:val="19"/>
              </w:rPr>
              <w:t>0:30</w:t>
            </w:r>
          </w:p>
        </w:tc>
        <w:tc>
          <w:tcPr>
            <w:tcW w:type="dxa" w:w="2835"/>
            <w:shd w:val="clear" w:color="auto" w:fill="F7F5FB"/>
          </w:tcPr>
          <w:p>
            <w:pPr>
              <w:spacing w:after="20"/>
            </w:pPr>
            <w:r>
              <w:rPr>
                <w:sz w:val="19"/>
              </w:rPr>
            </w:r>
            <w:r>
              <w:rPr>
                <w:sz w:val="19"/>
              </w:rPr>
              <w:t>Two-minute check → plan</w:t>
            </w:r>
          </w:p>
        </w:tc>
        <w:tc>
          <w:tcPr>
            <w:tcW w:type="dxa" w:w="5896"/>
            <w:shd w:val="clear" w:color="auto" w:fill="F7F5FB"/>
          </w:tcPr>
          <w:p>
            <w:pPr>
              <w:spacing w:after="20"/>
            </w:pPr>
            <w:r>
              <w:rPr>
                <w:sz w:val="19"/>
              </w:rPr>
            </w:r>
            <w:r>
              <w:rPr>
                <w:sz w:val="19"/>
              </w:rPr>
              <w:t>“Six words find the sound to work on first, like a therapist’s assessment.”</w:t>
            </w:r>
          </w:p>
        </w:tc>
      </w:tr>
      <w:tr>
        <w:tc>
          <w:tcPr>
            <w:tcW w:type="dxa" w:w="907"/>
          </w:tcPr>
          <w:p>
            <w:pPr>
              <w:spacing w:after="20"/>
            </w:pPr>
            <w:r>
              <w:rPr>
                <w:sz w:val="19"/>
              </w:rPr>
            </w:r>
            <w:r>
              <w:rPr>
                <w:sz w:val="19"/>
              </w:rPr>
              <w:t>1:00</w:t>
            </w:r>
          </w:p>
        </w:tc>
        <w:tc>
          <w:tcPr>
            <w:tcW w:type="dxa" w:w="2835"/>
          </w:tcPr>
          <w:p>
            <w:pPr>
              <w:spacing w:after="20"/>
            </w:pPr>
            <w:r>
              <w:rPr>
                <w:sz w:val="19"/>
              </w:rPr>
            </w:r>
            <w:r>
              <w:rPr>
                <w:sz w:val="19"/>
              </w:rPr>
              <w:t>Practice: record शा, then सा</w:t>
            </w:r>
          </w:p>
        </w:tc>
        <w:tc>
          <w:tcPr>
            <w:tcW w:type="dxa" w:w="5896"/>
          </w:tcPr>
          <w:p>
            <w:pPr>
              <w:spacing w:after="20"/>
            </w:pPr>
            <w:r>
              <w:rPr>
                <w:sz w:val="19"/>
              </w:rPr>
            </w:r>
            <w:r>
              <w:rPr>
                <w:sz w:val="19"/>
              </w:rPr>
              <w:t>“It names the exact sound it heard and shows both mouths side by side.”</w:t>
            </w:r>
          </w:p>
        </w:tc>
      </w:tr>
      <w:tr>
        <w:tc>
          <w:tcPr>
            <w:tcW w:type="dxa" w:w="907"/>
            <w:shd w:val="clear" w:color="auto" w:fill="F7F5FB"/>
          </w:tcPr>
          <w:p>
            <w:pPr>
              <w:spacing w:after="20"/>
            </w:pPr>
            <w:r>
              <w:rPr>
                <w:sz w:val="19"/>
              </w:rPr>
            </w:r>
            <w:r>
              <w:rPr>
                <w:sz w:val="19"/>
              </w:rPr>
              <w:t>1:45</w:t>
            </w:r>
          </w:p>
        </w:tc>
        <w:tc>
          <w:tcPr>
            <w:tcW w:type="dxa" w:w="2835"/>
            <w:shd w:val="clear" w:color="auto" w:fill="F7F5FB"/>
          </w:tcPr>
          <w:p>
            <w:pPr>
              <w:spacing w:after="20"/>
            </w:pPr>
            <w:r>
              <w:rPr>
                <w:sz w:val="19"/>
              </w:rPr>
            </w:r>
            <w:r>
              <w:rPr>
                <w:sz w:val="19"/>
              </w:rPr>
              <w:t>Why this confidence?</w:t>
            </w:r>
          </w:p>
        </w:tc>
        <w:tc>
          <w:tcPr>
            <w:tcW w:type="dxa" w:w="5896"/>
            <w:shd w:val="clear" w:color="auto" w:fill="F7F5FB"/>
          </w:tcPr>
          <w:p>
            <w:pPr>
              <w:spacing w:after="20"/>
            </w:pPr>
            <w:r>
              <w:rPr>
                <w:sz w:val="19"/>
              </w:rPr>
            </w:r>
            <w:r>
              <w:rPr>
                <w:sz w:val="19"/>
              </w:rPr>
              <w:t>“Three checks, weighted by measured accuracy. If it isn’t sure, it says so.”</w:t>
            </w:r>
          </w:p>
        </w:tc>
      </w:tr>
      <w:tr>
        <w:tc>
          <w:tcPr>
            <w:tcW w:type="dxa" w:w="907"/>
          </w:tcPr>
          <w:p>
            <w:pPr>
              <w:spacing w:after="20"/>
            </w:pPr>
            <w:r>
              <w:rPr>
                <w:sz w:val="19"/>
              </w:rPr>
            </w:r>
            <w:r>
              <w:rPr>
                <w:sz w:val="19"/>
              </w:rPr>
              <w:t>2:15</w:t>
            </w:r>
          </w:p>
        </w:tc>
        <w:tc>
          <w:tcPr>
            <w:tcW w:type="dxa" w:w="2835"/>
          </w:tcPr>
          <w:p>
            <w:pPr>
              <w:spacing w:after="20"/>
            </w:pPr>
            <w:r>
              <w:rPr>
                <w:sz w:val="19"/>
              </w:rPr>
            </w:r>
            <w:r>
              <w:rPr>
                <w:sz w:val="19"/>
              </w:rPr>
              <w:t>Dashboard and progress</w:t>
            </w:r>
          </w:p>
        </w:tc>
        <w:tc>
          <w:tcPr>
            <w:tcW w:type="dxa" w:w="5896"/>
          </w:tcPr>
          <w:p>
            <w:pPr>
              <w:spacing w:after="20"/>
            </w:pPr>
            <w:r>
              <w:rPr>
                <w:sz w:val="19"/>
              </w:rPr>
            </w:r>
            <w:r>
              <w:rPr>
                <w:sz w:val="19"/>
              </w:rPr>
              <w:t>“The plan moves up or back on evidence, and parents see real practice data.”</w:t>
            </w:r>
          </w:p>
        </w:tc>
      </w:tr>
      <w:tr>
        <w:tc>
          <w:tcPr>
            <w:tcW w:type="dxa" w:w="907"/>
            <w:shd w:val="clear" w:color="auto" w:fill="F7F5FB"/>
          </w:tcPr>
          <w:p>
            <w:pPr>
              <w:spacing w:after="20"/>
            </w:pPr>
            <w:r>
              <w:rPr>
                <w:sz w:val="19"/>
              </w:rPr>
            </w:r>
            <w:r>
              <w:rPr>
                <w:sz w:val="19"/>
              </w:rPr>
              <w:t>2:40</w:t>
            </w:r>
          </w:p>
        </w:tc>
        <w:tc>
          <w:tcPr>
            <w:tcW w:type="dxa" w:w="2835"/>
            <w:shd w:val="clear" w:color="auto" w:fill="F7F5FB"/>
          </w:tcPr>
          <w:p>
            <w:pPr>
              <w:spacing w:after="20"/>
            </w:pPr>
            <w:r>
              <w:rPr>
                <w:sz w:val="19"/>
              </w:rPr>
            </w:r>
            <w:r>
              <w:rPr>
                <w:sz w:val="19"/>
              </w:rPr>
              <w:t>Settings → accuracy</w:t>
            </w:r>
          </w:p>
        </w:tc>
        <w:tc>
          <w:tcPr>
            <w:tcW w:type="dxa" w:w="5896"/>
            <w:shd w:val="clear" w:color="auto" w:fill="F7F5FB"/>
          </w:tcPr>
          <w:p>
            <w:pPr>
              <w:spacing w:after="20"/>
            </w:pPr>
            <w:r>
              <w:rPr>
                <w:sz w:val="19"/>
              </w:rPr>
            </w:r>
            <w:r>
              <w:rPr>
                <w:sz w:val="19"/>
              </w:rPr>
              <w:t>“We publish our accuracy, and recordings are deleted by default.”</w:t>
            </w:r>
          </w:p>
        </w:tc>
      </w:tr>
    </w:tbl>
    <w:p/>
    <w:p>
      <w:pPr>
        <w:pStyle w:val="Heading1"/>
      </w:pPr>
      <w:r>
        <w:t>Running it</w:t>
      </w:r>
    </w:p>
    <w:p>
      <w:pPr>
        <w:keepNext w:val="0"/>
      </w:pPr>
      <w:r>
        <w:rPr>
          <w:b w:val="0"/>
          <w:i w:val="0"/>
          <w:sz w:val="19"/>
        </w:rPr>
        <w:t>powershell -ExecutionPolicy Bypass -File saybetter\run.ps1</w:t>
      </w:r>
    </w:p>
    <w:p>
      <w:pPr>
        <w:keepNext w:val="0"/>
      </w:pPr>
      <w:r>
        <w:rPr>
          <w:b w:val="0"/>
          <w:i w:val="0"/>
          <w:sz w:val="20"/>
        </w:rPr>
        <w:t>Then open http://localhost:8000 in Chrome or Edge. The Sarvam key goes in saybetter/backend/.env.</w:t>
      </w:r>
    </w:p>
    <w:sectPr w:rsidR="00FC693F" w:rsidRPr="0006063C" w:rsidSect="00034616">
      <w:footerReference w:type="default" r:id="rId25"/>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F5370"/>
        <w:sz w:val="16"/>
      </w:rPr>
      <w:t xml:space="preserve">SayBetter AI — Feature showcase   ·   page </w:t>
    </w:r>
    <w:r>
      <w:rPr>
        <w:sz w:val="16"/>
      </w:rPr>
      <w:fldChar w:fldCharType="begin"/>
    </w:r>
    <w:r>
      <w:rPr>
        <w:sz w:val="16"/>
      </w:rPr>
      <w:instrText xml:space="preserve">PAGE</w:instrText>
    </w:r>
    <w:r>
      <w:rPr>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cs="Nirmala UI"/>
      <w:color w:val="2B2D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0"/>
      <w:outlineLvl w:val="0"/>
    </w:pPr>
    <w:rPr>
      <w:rFonts w:asciiTheme="majorHAnsi" w:eastAsiaTheme="majorEastAsia" w:hAnsiTheme="majorHAnsi" w:cstheme="majorBidi" w:ascii="Calibri" w:hAnsi="Calibri" w:cs="Nirmala UI"/>
      <w:b/>
      <w:bCs/>
      <w:color w:val="C8323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cs="Nirmala UI"/>
      <w:b/>
      <w:bCs/>
      <w:color w:val="6A2FB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s="Nirmala UI"/>
      <w:b/>
      <w:color w:val="2B2D42"/>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