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pStyle w:val="Title"/>
      </w:pPr>
      <w:r>
        <w:t>SayBetter AI</w:t>
      </w:r>
    </w:p>
    <w:p>
      <w:r>
        <w:rPr>
          <w:b/>
          <w:i w:val="0"/>
          <w:color w:val="0F766E"/>
          <w:sz w:val="36"/>
        </w:rPr>
        <w:t>Market Research Report</w:t>
      </w:r>
    </w:p>
    <w:p>
      <w:r>
        <w:rPr>
          <w:b w:val="0"/>
          <w:i w:val="0"/>
          <w:color w:val="4A5568"/>
          <w:sz w:val="24"/>
        </w:rPr>
        <w:t>AI speech-practice coach for Tamil and Hindi — population need, therapy costs, market size, positioning, usability, social impact and sustainability</w:t>
      </w:r>
    </w:p>
    <w:p/>
    <w:p>
      <w:r>
        <w:rPr>
          <w:b w:val="0"/>
          <w:i w:val="0"/>
          <w:sz w:val="21"/>
        </w:rPr>
        <w:t>Prepared for: Entrepreneurship case competition (sustainability, social impact &amp; well-being track)</w:t>
      </w:r>
    </w:p>
    <w:p>
      <w:r>
        <w:rPr>
          <w:b w:val="0"/>
          <w:i w:val="0"/>
          <w:sz w:val="21"/>
        </w:rPr>
        <w:t>Date: 24 October 2026</w:t>
      </w:r>
    </w:p>
    <w:p>
      <w:r>
        <w:rPr>
          <w:b w:val="0"/>
          <w:i/>
          <w:color w:val="4A5568"/>
          <w:sz w:val="19"/>
        </w:rPr>
        <w:t>Status: desk research from published sources + our own calculations. Figures marked “our estimate” are derived from the cited sources using the assumptions shown, and should be validated with primary research (Section 13) before final submission.</w:t>
      </w:r>
    </w:p>
    <w:p>
      <w:r>
        <w:br w:type="page"/>
      </w:r>
    </w:p>
    <w:p>
      <w:pPr>
        <w:pStyle w:val="Heading1"/>
      </w:pPr>
      <w:r>
        <w:t>Executive summary</w:t>
      </w:r>
    </w:p>
    <w:p>
      <w:r>
        <w:rPr>
          <w:b w:val="0"/>
          <w:i w:val="0"/>
        </w:rPr>
        <w:t>SayBetter AI helps children and adults practise specific speech sounds in Tamil and Hindi at home. It shows how the tongue and lips should move, tells the learner which sound it actually heard (for example “ள instead of ழ”), and adapts the next exercise from their saved results — positioned as practice support between (or in the absence of) speech-therapy sessions, not as a diagnosis or a replacement for a therapist.</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2438"/>
            <w:shd w:val="clear" w:color="auto" w:fill="0F766E"/>
          </w:tcPr>
          <w:p>
            <w:pPr>
              <w:keepNext/>
              <w:spacing w:after="20"/>
            </w:pPr>
            <w:r>
              <w:rPr>
                <w:sz w:val="18"/>
              </w:rPr>
            </w:r>
            <w:r>
              <w:rPr>
                <w:b/>
                <w:color w:val="FFFFFF"/>
                <w:sz w:val="18"/>
              </w:rPr>
              <w:t>Question</w:t>
            </w:r>
          </w:p>
        </w:tc>
        <w:tc>
          <w:tcPr>
            <w:tcW w:type="dxa" w:w="6973"/>
            <w:shd w:val="clear" w:color="auto" w:fill="0F766E"/>
          </w:tcPr>
          <w:p>
            <w:pPr>
              <w:keepNext/>
              <w:spacing w:after="20"/>
            </w:pPr>
            <w:r>
              <w:rPr>
                <w:sz w:val="18"/>
              </w:rPr>
            </w:r>
            <w:r>
              <w:rPr>
                <w:b/>
                <w:color w:val="FFFFFF"/>
                <w:sz w:val="18"/>
              </w:rPr>
              <w:t>Key finding</w:t>
            </w:r>
          </w:p>
        </w:tc>
      </w:tr>
      <w:tr>
        <w:tc>
          <w:tcPr>
            <w:tcW w:type="dxa" w:w="2438"/>
          </w:tcPr>
          <w:p>
            <w:pPr>
              <w:spacing w:after="20"/>
            </w:pPr>
            <w:r>
              <w:rPr>
                <w:sz w:val="18"/>
              </w:rPr>
            </w:r>
            <w:r>
              <w:rPr>
                <w:sz w:val="18"/>
              </w:rPr>
              <w:t>How many people are affected?</w:t>
            </w:r>
          </w:p>
        </w:tc>
        <w:tc>
          <w:tcPr>
            <w:tcW w:type="dxa" w:w="6973"/>
          </w:tcPr>
          <w:p>
            <w:pPr>
              <w:spacing w:after="20"/>
            </w:pPr>
            <w:r>
              <w:rPr>
                <w:sz w:val="18"/>
              </w:rPr>
            </w:r>
            <w:r>
              <w:rPr>
                <w:sz w:val="18"/>
              </w:rPr>
              <w:t>≈ 33 lakh Indians with a speech/language disability on the strict NSS definition; ≈ 5.8 crore with some communication disorder on a broader 4% estimate. About 1.3 crore children may have a speech disorder (our estimate) [1–5].</w:t>
            </w:r>
          </w:p>
        </w:tc>
      </w:tr>
      <w:tr>
        <w:tc>
          <w:tcPr>
            <w:tcW w:type="dxa" w:w="2438"/>
            <w:shd w:val="clear" w:color="auto" w:fill="F3F0EB"/>
          </w:tcPr>
          <w:p>
            <w:pPr>
              <w:spacing w:after="20"/>
            </w:pPr>
            <w:r>
              <w:rPr>
                <w:sz w:val="18"/>
              </w:rPr>
            </w:r>
            <w:r>
              <w:rPr>
                <w:sz w:val="18"/>
              </w:rPr>
              <w:t>Is there a supply gap?</w:t>
            </w:r>
          </w:p>
        </w:tc>
        <w:tc>
          <w:tcPr>
            <w:tcW w:type="dxa" w:w="6973"/>
            <w:shd w:val="clear" w:color="auto" w:fill="F3F0EB"/>
          </w:tcPr>
          <w:p>
            <w:pPr>
              <w:spacing w:after="20"/>
            </w:pPr>
            <w:r>
              <w:rPr>
                <w:sz w:val="18"/>
              </w:rPr>
            </w:r>
            <w:r>
              <w:rPr>
                <w:sz w:val="18"/>
              </w:rPr>
              <w:t>Yes. Only about 2,500–3,500+ registered speech-language pathologists and audiologists serve 1.44 billion people — roughly 1 professional per 32,000 people who need one — concentrated in cities [6–8].</w:t>
            </w:r>
          </w:p>
        </w:tc>
      </w:tr>
      <w:tr>
        <w:tc>
          <w:tcPr>
            <w:tcW w:type="dxa" w:w="2438"/>
          </w:tcPr>
          <w:p>
            <w:pPr>
              <w:spacing w:after="20"/>
            </w:pPr>
            <w:r>
              <w:rPr>
                <w:sz w:val="18"/>
              </w:rPr>
            </w:r>
            <w:r>
              <w:rPr>
                <w:sz w:val="18"/>
              </w:rPr>
              <w:t>What does therapy cost today?</w:t>
            </w:r>
          </w:p>
        </w:tc>
        <w:tc>
          <w:tcPr>
            <w:tcW w:type="dxa" w:w="6973"/>
          </w:tcPr>
          <w:p>
            <w:pPr>
              <w:spacing w:after="20"/>
            </w:pPr>
            <w:r>
              <w:rPr>
                <w:sz w:val="18"/>
              </w:rPr>
            </w:r>
            <w:r>
              <w:rPr>
                <w:sz w:val="18"/>
              </w:rPr>
              <w:t>₹600–2,500 per session in the private and online sector (₹3,000–6,000 at specialist centres). A typical 12-week course of ~24 sessions costs ₹14,000–60,000, mostly out of pocket [9–11, 16].</w:t>
            </w:r>
          </w:p>
        </w:tc>
      </w:tr>
      <w:tr>
        <w:tc>
          <w:tcPr>
            <w:tcW w:type="dxa" w:w="2438"/>
            <w:shd w:val="clear" w:color="auto" w:fill="F3F0EB"/>
          </w:tcPr>
          <w:p>
            <w:pPr>
              <w:spacing w:after="20"/>
            </w:pPr>
            <w:r>
              <w:rPr>
                <w:sz w:val="18"/>
              </w:rPr>
            </w:r>
            <w:r>
              <w:rPr>
                <w:sz w:val="18"/>
              </w:rPr>
              <w:t>How big is the market?</w:t>
            </w:r>
          </w:p>
        </w:tc>
        <w:tc>
          <w:tcPr>
            <w:tcW w:type="dxa" w:w="6973"/>
            <w:shd w:val="clear" w:color="auto" w:fill="F3F0EB"/>
          </w:tcPr>
          <w:p>
            <w:pPr>
              <w:spacing w:after="20"/>
            </w:pPr>
            <w:r>
              <w:rPr>
                <w:sz w:val="18"/>
              </w:rPr>
            </w:r>
            <w:r>
              <w:rPr>
                <w:sz w:val="18"/>
              </w:rPr>
              <w:t>India speech-therapy services: US$1.33 bn (2023) → US$2.56 bn (2030), 9.8% CAGR [12]. Our serviceable market (children with speech disorders, Hindi/Tamil speaking, online): ≈ 40 lakh children, ≈ ₹400 crore a year at ₹999/year (our estimate).</w:t>
            </w:r>
          </w:p>
        </w:tc>
      </w:tr>
      <w:tr>
        <w:tc>
          <w:tcPr>
            <w:tcW w:type="dxa" w:w="2438"/>
          </w:tcPr>
          <w:p>
            <w:pPr>
              <w:spacing w:after="20"/>
            </w:pPr>
            <w:r>
              <w:rPr>
                <w:sz w:val="18"/>
              </w:rPr>
            </w:r>
            <w:r>
              <w:rPr>
                <w:sz w:val="18"/>
              </w:rPr>
              <w:t>Where do we fit?</w:t>
            </w:r>
          </w:p>
        </w:tc>
        <w:tc>
          <w:tcPr>
            <w:tcW w:type="dxa" w:w="6973"/>
          </w:tcPr>
          <w:p>
            <w:pPr>
              <w:spacing w:after="20"/>
            </w:pPr>
            <w:r>
              <w:rPr>
                <w:sz w:val="18"/>
              </w:rPr>
            </w:r>
            <w:r>
              <w:rPr>
                <w:sz w:val="18"/>
              </w:rPr>
              <w:t>No product combines Indian-language speech sounds, sound-level AI feedback and visual articulation guidance at app prices. Competitors are English-first, stuttering-only, or human teletherapy at ₹600+ per session.</w:t>
            </w:r>
          </w:p>
        </w:tc>
      </w:tr>
      <w:tr>
        <w:tc>
          <w:tcPr>
            <w:tcW w:type="dxa" w:w="2438"/>
            <w:shd w:val="clear" w:color="auto" w:fill="F3F0EB"/>
          </w:tcPr>
          <w:p>
            <w:pPr>
              <w:spacing w:after="20"/>
            </w:pPr>
            <w:r>
              <w:rPr>
                <w:sz w:val="18"/>
              </w:rPr>
            </w:r>
            <w:r>
              <w:rPr>
                <w:sz w:val="18"/>
              </w:rPr>
              <w:t>Is it usable?</w:t>
            </w:r>
          </w:p>
        </w:tc>
        <w:tc>
          <w:tcPr>
            <w:tcW w:type="dxa" w:w="6973"/>
            <w:shd w:val="clear" w:color="auto" w:fill="F3F0EB"/>
          </w:tcPr>
          <w:p>
            <w:pPr>
              <w:spacing w:after="20"/>
            </w:pPr>
            <w:r>
              <w:rPr>
                <w:sz w:val="18"/>
              </w:rPr>
            </w:r>
            <w:r>
              <w:rPr>
                <w:sz w:val="18"/>
              </w:rPr>
              <w:t>MVP built with one action per screen, native script + romanisation + audio, a 2-minute check, honest “not sure” results. Next: SUS testing (target ≥ 75), Tamil/Hindi interface, low-end Android.</w:t>
            </w:r>
          </w:p>
        </w:tc>
      </w:tr>
      <w:tr>
        <w:tc>
          <w:tcPr>
            <w:tcW w:type="dxa" w:w="2438"/>
          </w:tcPr>
          <w:p>
            <w:pPr>
              <w:spacing w:after="20"/>
            </w:pPr>
            <w:r>
              <w:rPr>
                <w:sz w:val="18"/>
              </w:rPr>
            </w:r>
            <w:r>
              <w:rPr>
                <w:sz w:val="18"/>
              </w:rPr>
              <w:t>Is it sustainable?</w:t>
            </w:r>
          </w:p>
        </w:tc>
        <w:tc>
          <w:tcPr>
            <w:tcW w:type="dxa" w:w="6973"/>
          </w:tcPr>
          <w:p>
            <w:pPr>
              <w:spacing w:after="20"/>
            </w:pPr>
            <w:r>
              <w:rPr>
                <w:sz w:val="18"/>
              </w:rPr>
            </w:r>
            <w:r>
              <w:rPr>
                <w:sz w:val="18"/>
              </w:rPr>
              <w:t>Low running cost (≈ ₹10–15 per active user per month, our estimate) supports a freemium + family plan + clinic/school/CSR model with ~90% gross margin.</w:t>
            </w:r>
          </w:p>
        </w:tc>
      </w:tr>
      <w:tr>
        <w:tc>
          <w:tcPr>
            <w:tcW w:type="dxa" w:w="2438"/>
            <w:shd w:val="clear" w:color="auto" w:fill="F3F0EB"/>
          </w:tcPr>
          <w:p>
            <w:pPr>
              <w:spacing w:after="20"/>
            </w:pPr>
            <w:r>
              <w:rPr>
                <w:sz w:val="18"/>
              </w:rPr>
            </w:r>
            <w:r>
              <w:rPr>
                <w:sz w:val="18"/>
              </w:rPr>
              <w:t>Social impact</w:t>
            </w:r>
          </w:p>
        </w:tc>
        <w:tc>
          <w:tcPr>
            <w:tcW w:type="dxa" w:w="6973"/>
            <w:shd w:val="clear" w:color="auto" w:fill="F3F0EB"/>
          </w:tcPr>
          <w:p>
            <w:pPr>
              <w:spacing w:after="20"/>
            </w:pPr>
            <w:r>
              <w:rPr>
                <w:sz w:val="18"/>
              </w:rPr>
            </w:r>
            <w:r>
              <w:rPr>
                <w:sz w:val="18"/>
              </w:rPr>
              <w:t>Directly serves SDG 3 (health &amp; well-being), SDG 4 (education) and SDG 10 (reduced inequalities) by bringing daily, affordable practice to families who cannot reach or afford a therapist.</w:t>
            </w:r>
          </w:p>
        </w:tc>
      </w:tr>
    </w:tbl>
    <w:p/>
    <w:p>
      <w:r>
        <w:br w:type="page"/>
      </w:r>
    </w:p>
    <w:p>
      <w:pPr>
        <w:pStyle w:val="Heading1"/>
      </w:pPr>
      <w:r>
        <w:t>1. The problem: who struggles to speak clearly</w:t>
      </w:r>
    </w:p>
    <w:p>
      <w:r>
        <w:rPr>
          <w:b w:val="0"/>
          <w:i w:val="0"/>
        </w:rPr>
        <w:t>Speech-sound (articulation) difficulties mean a person consistently says one sound in place of another — for example a Tamil child saying வாலைப்பலம் for வாழைப்பழம் (ழ → ல), or a Hindi speaker saying सेर for शेर (श → स). Left unaddressed in childhood, they affect intelligibility, reading, classroom participation and confidence; in adults, speech difficulties after a stroke (aphasia, dysarthria) affect work and independence.</w:t>
      </w:r>
    </w:p>
    <w:p>
      <w:pPr>
        <w:pStyle w:val="Heading2"/>
      </w:pPr>
      <w:r>
        <w:t>1.1 Population affected in India</w:t>
      </w:r>
    </w:p>
    <w:tbl>
      <w:tblPr>
        <w:tblStyle w:val="TableGrid"/>
        <w:tblW w:type="auto" w:w="0"/>
        <w:jc w:val="center"/>
        <w:tblLook w:firstColumn="1" w:firstRow="1" w:lastColumn="0" w:lastRow="0" w:noHBand="0" w:noVBand="1" w:val="04A0"/>
      </w:tblPr>
      <w:tblGrid>
        <w:gridCol w:w="2353"/>
        <w:gridCol w:w="2353"/>
        <w:gridCol w:w="2353"/>
        <w:gridCol w:w="2353"/>
      </w:tblGrid>
      <w:tr>
        <w:trPr>
          <w:tblHeader w:val="true"/>
        </w:trPr>
        <w:tc>
          <w:tcPr>
            <w:tcW w:type="dxa" w:w="3175"/>
            <w:shd w:val="clear" w:color="auto" w:fill="0F766E"/>
          </w:tcPr>
          <w:p>
            <w:pPr>
              <w:keepNext/>
              <w:spacing w:after="20"/>
            </w:pPr>
            <w:r>
              <w:rPr>
                <w:sz w:val="18"/>
              </w:rPr>
            </w:r>
            <w:r>
              <w:rPr>
                <w:b/>
                <w:color w:val="FFFFFF"/>
                <w:sz w:val="18"/>
              </w:rPr>
              <w:t>Group</w:t>
            </w:r>
          </w:p>
        </w:tc>
        <w:tc>
          <w:tcPr>
            <w:tcW w:type="dxa" w:w="1928"/>
            <w:shd w:val="clear" w:color="auto" w:fill="0F766E"/>
          </w:tcPr>
          <w:p>
            <w:pPr>
              <w:keepNext/>
              <w:spacing w:after="20"/>
            </w:pPr>
            <w:r>
              <w:rPr>
                <w:sz w:val="18"/>
              </w:rPr>
            </w:r>
            <w:r>
              <w:rPr>
                <w:b/>
                <w:color w:val="FFFFFF"/>
                <w:sz w:val="18"/>
              </w:rPr>
              <w:t>Figure</w:t>
            </w:r>
          </w:p>
        </w:tc>
        <w:tc>
          <w:tcPr>
            <w:tcW w:type="dxa" w:w="3515"/>
            <w:shd w:val="clear" w:color="auto" w:fill="0F766E"/>
          </w:tcPr>
          <w:p>
            <w:pPr>
              <w:keepNext/>
              <w:spacing w:after="20"/>
            </w:pPr>
            <w:r>
              <w:rPr>
                <w:sz w:val="18"/>
              </w:rPr>
            </w:r>
            <w:r>
              <w:rPr>
                <w:b/>
                <w:color w:val="FFFFFF"/>
                <w:sz w:val="18"/>
              </w:rPr>
              <w:t>Basis</w:t>
            </w:r>
          </w:p>
        </w:tc>
        <w:tc>
          <w:tcPr>
            <w:tcW w:type="dxa" w:w="794"/>
            <w:shd w:val="clear" w:color="auto" w:fill="0F766E"/>
          </w:tcPr>
          <w:p>
            <w:pPr>
              <w:keepNext/>
              <w:spacing w:after="20"/>
            </w:pPr>
            <w:r>
              <w:rPr>
                <w:sz w:val="18"/>
              </w:rPr>
            </w:r>
            <w:r>
              <w:rPr>
                <w:b/>
                <w:color w:val="FFFFFF"/>
                <w:sz w:val="18"/>
              </w:rPr>
              <w:t>Src</w:t>
            </w:r>
          </w:p>
        </w:tc>
      </w:tr>
      <w:tr>
        <w:tc>
          <w:tcPr>
            <w:tcW w:type="dxa" w:w="3175"/>
          </w:tcPr>
          <w:p>
            <w:pPr>
              <w:spacing w:after="20"/>
            </w:pPr>
            <w:r>
              <w:rPr>
                <w:sz w:val="18"/>
              </w:rPr>
            </w:r>
            <w:r>
              <w:rPr>
                <w:sz w:val="18"/>
              </w:rPr>
              <w:t>People with speech disability (Census 2011)</w:t>
            </w:r>
          </w:p>
        </w:tc>
        <w:tc>
          <w:tcPr>
            <w:tcW w:type="dxa" w:w="1928"/>
          </w:tcPr>
          <w:p>
            <w:pPr>
              <w:spacing w:after="20"/>
            </w:pPr>
            <w:r>
              <w:rPr>
                <w:sz w:val="18"/>
              </w:rPr>
            </w:r>
            <w:r>
              <w:rPr>
                <w:sz w:val="18"/>
              </w:rPr>
              <w:t>19.98 lakh</w:t>
            </w:r>
          </w:p>
        </w:tc>
        <w:tc>
          <w:tcPr>
            <w:tcW w:type="dxa" w:w="3515"/>
          </w:tcPr>
          <w:p>
            <w:pPr>
              <w:spacing w:after="20"/>
            </w:pPr>
            <w:r>
              <w:rPr>
                <w:sz w:val="18"/>
              </w:rPr>
            </w:r>
            <w:r>
              <w:rPr>
                <w:sz w:val="18"/>
              </w:rPr>
              <w:t>Strict census definition; known undercount</w:t>
            </w:r>
          </w:p>
        </w:tc>
        <w:tc>
          <w:tcPr>
            <w:tcW w:type="dxa" w:w="794"/>
          </w:tcPr>
          <w:p>
            <w:pPr>
              <w:spacing w:after="20"/>
            </w:pPr>
            <w:r>
              <w:rPr>
                <w:sz w:val="18"/>
              </w:rPr>
            </w:r>
            <w:r>
              <w:rPr>
                <w:sz w:val="18"/>
              </w:rPr>
              <w:t>[1]</w:t>
            </w:r>
          </w:p>
        </w:tc>
      </w:tr>
      <w:tr>
        <w:tc>
          <w:tcPr>
            <w:tcW w:type="dxa" w:w="3175"/>
            <w:shd w:val="clear" w:color="auto" w:fill="F3F0EB"/>
          </w:tcPr>
          <w:p>
            <w:pPr>
              <w:spacing w:after="20"/>
            </w:pPr>
            <w:r>
              <w:rPr>
                <w:sz w:val="18"/>
              </w:rPr>
            </w:r>
            <w:r>
              <w:rPr>
                <w:sz w:val="18"/>
              </w:rPr>
              <w:t>People with speech &amp; language disability (NSS 76th round, 2018)</w:t>
            </w:r>
          </w:p>
        </w:tc>
        <w:tc>
          <w:tcPr>
            <w:tcW w:type="dxa" w:w="1928"/>
            <w:shd w:val="clear" w:color="auto" w:fill="F3F0EB"/>
          </w:tcPr>
          <w:p>
            <w:pPr>
              <w:spacing w:after="20"/>
            </w:pPr>
            <w:r>
              <w:rPr>
                <w:sz w:val="18"/>
              </w:rPr>
            </w:r>
            <w:r>
              <w:rPr>
                <w:sz w:val="18"/>
              </w:rPr>
              <w:t>≈ 33 lakh (our estimate)</w:t>
            </w:r>
          </w:p>
        </w:tc>
        <w:tc>
          <w:tcPr>
            <w:tcW w:type="dxa" w:w="3515"/>
            <w:shd w:val="clear" w:color="auto" w:fill="F3F0EB"/>
          </w:tcPr>
          <w:p>
            <w:pPr>
              <w:spacing w:after="20"/>
            </w:pPr>
            <w:r>
              <w:rPr>
                <w:sz w:val="18"/>
              </w:rPr>
            </w:r>
            <w:r>
              <w:rPr>
                <w:sz w:val="18"/>
              </w:rPr>
              <w:t>228 per 1,00,000 persons × 144 crore population</w:t>
            </w:r>
          </w:p>
        </w:tc>
        <w:tc>
          <w:tcPr>
            <w:tcW w:type="dxa" w:w="794"/>
            <w:shd w:val="clear" w:color="auto" w:fill="F3F0EB"/>
          </w:tcPr>
          <w:p>
            <w:pPr>
              <w:spacing w:after="20"/>
            </w:pPr>
            <w:r>
              <w:rPr>
                <w:sz w:val="18"/>
              </w:rPr>
            </w:r>
            <w:r>
              <w:rPr>
                <w:sz w:val="18"/>
              </w:rPr>
              <w:t>[2, 3]</w:t>
            </w:r>
          </w:p>
        </w:tc>
      </w:tr>
      <w:tr>
        <w:tc>
          <w:tcPr>
            <w:tcW w:type="dxa" w:w="3175"/>
          </w:tcPr>
          <w:p>
            <w:pPr>
              <w:spacing w:after="20"/>
            </w:pPr>
            <w:r>
              <w:rPr>
                <w:sz w:val="18"/>
              </w:rPr>
            </w:r>
            <w:r>
              <w:rPr>
                <w:sz w:val="18"/>
              </w:rPr>
              <w:t>People with any communication disorder</w:t>
            </w:r>
          </w:p>
        </w:tc>
        <w:tc>
          <w:tcPr>
            <w:tcW w:type="dxa" w:w="1928"/>
          </w:tcPr>
          <w:p>
            <w:pPr>
              <w:spacing w:after="20"/>
            </w:pPr>
            <w:r>
              <w:rPr>
                <w:sz w:val="18"/>
              </w:rPr>
            </w:r>
            <w:r>
              <w:rPr>
                <w:sz w:val="18"/>
              </w:rPr>
              <w:t>≈ 5.8 crore (our estimate)</w:t>
            </w:r>
          </w:p>
        </w:tc>
        <w:tc>
          <w:tcPr>
            <w:tcW w:type="dxa" w:w="3515"/>
          </w:tcPr>
          <w:p>
            <w:pPr>
              <w:spacing w:after="20"/>
            </w:pPr>
            <w:r>
              <w:rPr>
                <w:sz w:val="18"/>
              </w:rPr>
            </w:r>
            <w:r>
              <w:rPr>
                <w:sz w:val="18"/>
              </w:rPr>
              <w:t>≈ 4% of population, the assumption used in Indian workforce planning</w:t>
            </w:r>
          </w:p>
        </w:tc>
        <w:tc>
          <w:tcPr>
            <w:tcW w:type="dxa" w:w="794"/>
          </w:tcPr>
          <w:p>
            <w:pPr>
              <w:spacing w:after="20"/>
            </w:pPr>
            <w:r>
              <w:rPr>
                <w:sz w:val="18"/>
              </w:rPr>
            </w:r>
            <w:r>
              <w:rPr>
                <w:sz w:val="18"/>
              </w:rPr>
              <w:t>[6]</w:t>
            </w:r>
          </w:p>
        </w:tc>
      </w:tr>
      <w:tr>
        <w:tc>
          <w:tcPr>
            <w:tcW w:type="dxa" w:w="3175"/>
            <w:shd w:val="clear" w:color="auto" w:fill="F3F0EB"/>
          </w:tcPr>
          <w:p>
            <w:pPr>
              <w:spacing w:after="20"/>
            </w:pPr>
            <w:r>
              <w:rPr>
                <w:sz w:val="18"/>
              </w:rPr>
            </w:r>
            <w:r>
              <w:rPr>
                <w:sz w:val="18"/>
              </w:rPr>
              <w:t>School children with a communication disorder</w:t>
            </w:r>
          </w:p>
        </w:tc>
        <w:tc>
          <w:tcPr>
            <w:tcW w:type="dxa" w:w="1928"/>
            <w:shd w:val="clear" w:color="auto" w:fill="F3F0EB"/>
          </w:tcPr>
          <w:p>
            <w:pPr>
              <w:spacing w:after="20"/>
            </w:pPr>
            <w:r>
              <w:rPr>
                <w:sz w:val="18"/>
              </w:rPr>
            </w:r>
            <w:r>
              <w:rPr>
                <w:sz w:val="18"/>
              </w:rPr>
              <w:t>11.5% of children screened</w:t>
            </w:r>
          </w:p>
        </w:tc>
        <w:tc>
          <w:tcPr>
            <w:tcW w:type="dxa" w:w="3515"/>
            <w:shd w:val="clear" w:color="auto" w:fill="F3F0EB"/>
          </w:tcPr>
          <w:p>
            <w:pPr>
              <w:spacing w:after="20"/>
            </w:pPr>
            <w:r>
              <w:rPr>
                <w:sz w:val="18"/>
              </w:rPr>
            </w:r>
            <w:r>
              <w:rPr>
                <w:sz w:val="18"/>
              </w:rPr>
              <w:t>School screening, Mysuru (2,010 children); speech disorder alone 3.8%</w:t>
            </w:r>
          </w:p>
        </w:tc>
        <w:tc>
          <w:tcPr>
            <w:tcW w:type="dxa" w:w="794"/>
            <w:shd w:val="clear" w:color="auto" w:fill="F3F0EB"/>
          </w:tcPr>
          <w:p>
            <w:pPr>
              <w:spacing w:after="20"/>
            </w:pPr>
            <w:r>
              <w:rPr>
                <w:sz w:val="18"/>
              </w:rPr>
            </w:r>
            <w:r>
              <w:rPr>
                <w:sz w:val="18"/>
              </w:rPr>
              <w:t>[4]</w:t>
            </w:r>
          </w:p>
        </w:tc>
      </w:tr>
      <w:tr>
        <w:tc>
          <w:tcPr>
            <w:tcW w:type="dxa" w:w="3175"/>
          </w:tcPr>
          <w:p>
            <w:pPr>
              <w:spacing w:after="20"/>
            </w:pPr>
            <w:r>
              <w:rPr>
                <w:sz w:val="18"/>
              </w:rPr>
            </w:r>
            <w:r>
              <w:rPr>
                <w:sz w:val="18"/>
              </w:rPr>
              <w:t>Rural Tamil Nadu school children with hearing, speech or language disorders</w:t>
            </w:r>
          </w:p>
        </w:tc>
        <w:tc>
          <w:tcPr>
            <w:tcW w:type="dxa" w:w="1928"/>
          </w:tcPr>
          <w:p>
            <w:pPr>
              <w:spacing w:after="20"/>
            </w:pPr>
            <w:r>
              <w:rPr>
                <w:sz w:val="18"/>
              </w:rPr>
            </w:r>
            <w:r>
              <w:rPr>
                <w:sz w:val="18"/>
              </w:rPr>
              <w:t>≈ 9% (130 of 1,453)</w:t>
            </w:r>
          </w:p>
        </w:tc>
        <w:tc>
          <w:tcPr>
            <w:tcW w:type="dxa" w:w="3515"/>
          </w:tcPr>
          <w:p>
            <w:pPr>
              <w:spacing w:after="20"/>
            </w:pPr>
            <w:r>
              <w:rPr>
                <w:sz w:val="18"/>
              </w:rPr>
            </w:r>
            <w:r>
              <w:rPr>
                <w:sz w:val="18"/>
              </w:rPr>
              <w:t>Longitudinal rural school study</w:t>
            </w:r>
          </w:p>
        </w:tc>
        <w:tc>
          <w:tcPr>
            <w:tcW w:type="dxa" w:w="794"/>
          </w:tcPr>
          <w:p>
            <w:pPr>
              <w:spacing w:after="20"/>
            </w:pPr>
            <w:r>
              <w:rPr>
                <w:sz w:val="18"/>
              </w:rPr>
            </w:r>
            <w:r>
              <w:rPr>
                <w:sz w:val="18"/>
              </w:rPr>
              <w:t>[5]</w:t>
            </w:r>
          </w:p>
        </w:tc>
      </w:tr>
      <w:tr>
        <w:tc>
          <w:tcPr>
            <w:tcW w:type="dxa" w:w="3175"/>
            <w:shd w:val="clear" w:color="auto" w:fill="F3F0EB"/>
          </w:tcPr>
          <w:p>
            <w:pPr>
              <w:spacing w:after="20"/>
            </w:pPr>
            <w:r>
              <w:rPr>
                <w:sz w:val="18"/>
              </w:rPr>
            </w:r>
            <w:r>
              <w:rPr>
                <w:sz w:val="18"/>
              </w:rPr>
              <w:t>Children (0–14) with a speech disorder, India</w:t>
            </w:r>
          </w:p>
        </w:tc>
        <w:tc>
          <w:tcPr>
            <w:tcW w:type="dxa" w:w="1928"/>
            <w:shd w:val="clear" w:color="auto" w:fill="F3F0EB"/>
          </w:tcPr>
          <w:p>
            <w:pPr>
              <w:spacing w:after="20"/>
            </w:pPr>
            <w:r>
              <w:rPr>
                <w:sz w:val="18"/>
              </w:rPr>
            </w:r>
            <w:r>
              <w:rPr>
                <w:sz w:val="18"/>
              </w:rPr>
              <w:t>≈ 1.3 crore (our estimate)</w:t>
            </w:r>
          </w:p>
        </w:tc>
        <w:tc>
          <w:tcPr>
            <w:tcW w:type="dxa" w:w="3515"/>
            <w:shd w:val="clear" w:color="auto" w:fill="F3F0EB"/>
          </w:tcPr>
          <w:p>
            <w:pPr>
              <w:spacing w:after="20"/>
            </w:pPr>
            <w:r>
              <w:rPr>
                <w:sz w:val="18"/>
              </w:rPr>
            </w:r>
            <w:r>
              <w:rPr>
                <w:sz w:val="18"/>
              </w:rPr>
              <w:t>3.8% × ≈ 34.6 crore children (24% of 144 crore)</w:t>
            </w:r>
          </w:p>
        </w:tc>
        <w:tc>
          <w:tcPr>
            <w:tcW w:type="dxa" w:w="794"/>
            <w:shd w:val="clear" w:color="auto" w:fill="F3F0EB"/>
          </w:tcPr>
          <w:p>
            <w:pPr>
              <w:spacing w:after="20"/>
            </w:pPr>
            <w:r>
              <w:rPr>
                <w:sz w:val="18"/>
              </w:rPr>
            </w:r>
            <w:r>
              <w:rPr>
                <w:sz w:val="18"/>
              </w:rPr>
              <w:t>[4, 17]</w:t>
            </w:r>
          </w:p>
        </w:tc>
      </w:tr>
      <w:tr>
        <w:tc>
          <w:tcPr>
            <w:tcW w:type="dxa" w:w="3175"/>
          </w:tcPr>
          <w:p>
            <w:pPr>
              <w:spacing w:after="20"/>
            </w:pPr>
            <w:r>
              <w:rPr>
                <w:sz w:val="18"/>
              </w:rPr>
            </w:r>
            <w:r>
              <w:rPr>
                <w:sz w:val="18"/>
              </w:rPr>
              <w:t>People who stutter</w:t>
            </w:r>
          </w:p>
        </w:tc>
        <w:tc>
          <w:tcPr>
            <w:tcW w:type="dxa" w:w="1928"/>
          </w:tcPr>
          <w:p>
            <w:pPr>
              <w:spacing w:after="20"/>
            </w:pPr>
            <w:r>
              <w:rPr>
                <w:sz w:val="18"/>
              </w:rPr>
            </w:r>
            <w:r>
              <w:rPr>
                <w:sz w:val="18"/>
              </w:rPr>
              <w:t>≈ 1.4 crore (our estimate)</w:t>
            </w:r>
          </w:p>
        </w:tc>
        <w:tc>
          <w:tcPr>
            <w:tcW w:type="dxa" w:w="3515"/>
          </w:tcPr>
          <w:p>
            <w:pPr>
              <w:spacing w:after="20"/>
            </w:pPr>
            <w:r>
              <w:rPr>
                <w:sz w:val="18"/>
              </w:rPr>
            </w:r>
            <w:r>
              <w:rPr>
                <w:sz w:val="18"/>
              </w:rPr>
              <w:t>≈ 1% worldwide; 1.68% in a Karnataka school study</w:t>
            </w:r>
          </w:p>
        </w:tc>
        <w:tc>
          <w:tcPr>
            <w:tcW w:type="dxa" w:w="794"/>
          </w:tcPr>
          <w:p>
            <w:pPr>
              <w:spacing w:after="20"/>
            </w:pPr>
            <w:r>
              <w:rPr>
                <w:sz w:val="18"/>
              </w:rPr>
            </w:r>
            <w:r>
              <w:rPr>
                <w:sz w:val="18"/>
              </w:rPr>
              <w:t>[13]</w:t>
            </w:r>
          </w:p>
        </w:tc>
      </w:tr>
      <w:tr>
        <w:tc>
          <w:tcPr>
            <w:tcW w:type="dxa" w:w="3175"/>
            <w:shd w:val="clear" w:color="auto" w:fill="F3F0EB"/>
          </w:tcPr>
          <w:p>
            <w:pPr>
              <w:spacing w:after="20"/>
            </w:pPr>
            <w:r>
              <w:rPr>
                <w:sz w:val="18"/>
              </w:rPr>
            </w:r>
            <w:r>
              <w:rPr>
                <w:sz w:val="18"/>
              </w:rPr>
              <w:t>New stroke cases per year</w:t>
            </w:r>
          </w:p>
        </w:tc>
        <w:tc>
          <w:tcPr>
            <w:tcW w:type="dxa" w:w="1928"/>
            <w:shd w:val="clear" w:color="auto" w:fill="F3F0EB"/>
          </w:tcPr>
          <w:p>
            <w:pPr>
              <w:spacing w:after="20"/>
            </w:pPr>
            <w:r>
              <w:rPr>
                <w:sz w:val="18"/>
              </w:rPr>
            </w:r>
            <w:r>
              <w:rPr>
                <w:sz w:val="18"/>
              </w:rPr>
              <w:t>≈ 15–22 lakh (our estimate)</w:t>
            </w:r>
          </w:p>
        </w:tc>
        <w:tc>
          <w:tcPr>
            <w:tcW w:type="dxa" w:w="3515"/>
            <w:shd w:val="clear" w:color="auto" w:fill="F3F0EB"/>
          </w:tcPr>
          <w:p>
            <w:pPr>
              <w:spacing w:after="20"/>
            </w:pPr>
            <w:r>
              <w:rPr>
                <w:sz w:val="18"/>
              </w:rPr>
            </w:r>
            <w:r>
              <w:rPr>
                <w:sz w:val="18"/>
              </w:rPr>
              <w:t>105–152 per 1,00,000 persons per year</w:t>
            </w:r>
          </w:p>
        </w:tc>
        <w:tc>
          <w:tcPr>
            <w:tcW w:type="dxa" w:w="794"/>
            <w:shd w:val="clear" w:color="auto" w:fill="F3F0EB"/>
          </w:tcPr>
          <w:p>
            <w:pPr>
              <w:spacing w:after="20"/>
            </w:pPr>
            <w:r>
              <w:rPr>
                <w:sz w:val="18"/>
              </w:rPr>
            </w:r>
            <w:r>
              <w:rPr>
                <w:sz w:val="18"/>
              </w:rPr>
              <w:t>[14]</w:t>
            </w:r>
          </w:p>
        </w:tc>
      </w:tr>
      <w:tr>
        <w:tc>
          <w:tcPr>
            <w:tcW w:type="dxa" w:w="3175"/>
          </w:tcPr>
          <w:p>
            <w:pPr>
              <w:spacing w:after="20"/>
            </w:pPr>
            <w:r>
              <w:rPr>
                <w:sz w:val="18"/>
              </w:rPr>
            </w:r>
            <w:r>
              <w:rPr>
                <w:sz w:val="18"/>
              </w:rPr>
              <w:t>New post-stroke aphasia cases per year</w:t>
            </w:r>
          </w:p>
        </w:tc>
        <w:tc>
          <w:tcPr>
            <w:tcW w:type="dxa" w:w="1928"/>
          </w:tcPr>
          <w:p>
            <w:pPr>
              <w:spacing w:after="20"/>
            </w:pPr>
            <w:r>
              <w:rPr>
                <w:sz w:val="18"/>
              </w:rPr>
            </w:r>
            <w:r>
              <w:rPr>
                <w:sz w:val="18"/>
              </w:rPr>
              <w:t>≈ 3–8 lakh (our estimate)</w:t>
            </w:r>
          </w:p>
        </w:tc>
        <w:tc>
          <w:tcPr>
            <w:tcW w:type="dxa" w:w="3515"/>
          </w:tcPr>
          <w:p>
            <w:pPr>
              <w:spacing w:after="20"/>
            </w:pPr>
            <w:r>
              <w:rPr>
                <w:sz w:val="18"/>
              </w:rPr>
            </w:r>
            <w:r>
              <w:rPr>
                <w:sz w:val="18"/>
              </w:rPr>
              <w:t>21–38% of stroke patients</w:t>
            </w:r>
          </w:p>
        </w:tc>
        <w:tc>
          <w:tcPr>
            <w:tcW w:type="dxa" w:w="794"/>
          </w:tcPr>
          <w:p>
            <w:pPr>
              <w:spacing w:after="20"/>
            </w:pPr>
            <w:r>
              <w:rPr>
                <w:sz w:val="18"/>
              </w:rPr>
            </w:r>
            <w:r>
              <w:rPr>
                <w:sz w:val="18"/>
              </w:rPr>
              <w:t>[14]</w:t>
            </w:r>
          </w:p>
        </w:tc>
      </w:tr>
    </w:tbl>
    <w:p/>
    <w:tbl>
      <w:tblPr>
        <w:tblW w:type="auto" w:w="0"/>
        <w:jc w:val="center"/>
        <w:tblLook w:firstColumn="1" w:firstRow="1" w:lastColumn="0" w:lastRow="0" w:noHBand="0" w:noVBand="1" w:val="04A0"/>
      </w:tblPr>
      <w:tblGrid>
        <w:gridCol w:w="9412"/>
      </w:tblGrid>
      <w:tr>
        <w:tc>
          <w:tcPr>
            <w:tcW w:type="dxa" w:w="9411"/>
            <w:shd w:val="clear" w:color="auto" w:fill="E3F2EF"/>
          </w:tcPr>
          <w:p>
            <w:r>
              <w:rPr>
                <w:sz w:val="20"/>
              </w:rPr>
            </w:r>
            <w:r>
              <w:rPr>
                <w:b/>
                <w:sz w:val="20"/>
              </w:rPr>
              <w:t xml:space="preserve">Why the numbers vary.  </w:t>
            </w:r>
            <w:r>
              <w:rPr>
                <w:sz w:val="20"/>
              </w:rPr>
              <w:t>Indian estimates differ by up to 10× because the Census counts only severe disability, while school screenings count every child who needs help. For the business case we use the conservative child estimate (3.8%), not the broad 4–11% screening figures.</w:t>
            </w:r>
          </w:p>
        </w:tc>
      </w:tr>
    </w:tbl>
    <w:p/>
    <w:p>
      <w:pPr>
        <w:pStyle w:val="Heading2"/>
      </w:pPr>
      <w:r>
        <w:t>1.2 Global context</w:t>
      </w:r>
    </w:p>
    <w:p>
      <w:pPr>
        <w:pStyle w:val="ListBullet"/>
      </w:pPr>
      <w:r>
        <w:rPr>
          <w:b/>
        </w:rPr>
        <w:t xml:space="preserve">United States: </w:t>
      </w:r>
      <w:r>
        <w:t>nearly 1 in 12 children aged 3–17 (7.7%) had a voice, speech, language or swallowing disorder in the past year; speech problems were most common (5.0%). Only about 55% received any treatment [15].</w:t>
      </w:r>
    </w:p>
    <w:p>
      <w:pPr>
        <w:pStyle w:val="ListBullet"/>
      </w:pPr>
      <w:r>
        <w:rPr>
          <w:b/>
        </w:rPr>
        <w:t xml:space="preserve">Stuttering: </w:t>
      </w:r>
      <w:r>
        <w:t>about 1% of people worldwide [13].</w:t>
      </w:r>
    </w:p>
    <w:p>
      <w:pPr>
        <w:pStyle w:val="ListBullet"/>
      </w:pPr>
      <w:r>
        <w:rPr>
          <w:b/>
        </w:rPr>
        <w:t xml:space="preserve">Implication: </w:t>
      </w:r>
      <w:r>
        <w:t>even in a country with ~200,000 therapists, almost half of affected children go untreated — in India, with ~3,000, the treatment gap is far larger.</w:t>
      </w:r>
    </w:p>
    <w:p>
      <w:pPr>
        <w:pStyle w:val="Heading2"/>
      </w:pPr>
      <w:r>
        <w:t>1.3 Languages: our beachhead</w:t>
      </w:r>
    </w:p>
    <w:tbl>
      <w:tblPr>
        <w:tblStyle w:val="TableGrid"/>
        <w:tblW w:type="auto" w:w="0"/>
        <w:jc w:val="center"/>
        <w:tblLook w:firstColumn="1" w:firstRow="1" w:lastColumn="0" w:lastRow="0" w:noHBand="0" w:noVBand="1" w:val="04A0"/>
      </w:tblPr>
      <w:tblGrid>
        <w:gridCol w:w="2353"/>
        <w:gridCol w:w="2353"/>
        <w:gridCol w:w="2353"/>
        <w:gridCol w:w="2353"/>
      </w:tblGrid>
      <w:tr>
        <w:trPr>
          <w:tblHeader w:val="true"/>
        </w:trPr>
        <w:tc>
          <w:tcPr>
            <w:tcW w:type="dxa" w:w="1814"/>
            <w:shd w:val="clear" w:color="auto" w:fill="0F766E"/>
          </w:tcPr>
          <w:p>
            <w:pPr>
              <w:keepNext/>
              <w:spacing w:after="20"/>
            </w:pPr>
            <w:r>
              <w:rPr>
                <w:sz w:val="18"/>
              </w:rPr>
            </w:r>
            <w:r>
              <w:rPr>
                <w:b/>
                <w:color w:val="FFFFFF"/>
                <w:sz w:val="18"/>
              </w:rPr>
              <w:t>Language</w:t>
            </w:r>
          </w:p>
        </w:tc>
        <w:tc>
          <w:tcPr>
            <w:tcW w:type="dxa" w:w="4649"/>
            <w:shd w:val="clear" w:color="auto" w:fill="0F766E"/>
          </w:tcPr>
          <w:p>
            <w:pPr>
              <w:keepNext/>
              <w:spacing w:after="20"/>
            </w:pPr>
            <w:r>
              <w:rPr>
                <w:sz w:val="18"/>
              </w:rPr>
            </w:r>
            <w:r>
              <w:rPr>
                <w:b/>
                <w:color w:val="FFFFFF"/>
                <w:sz w:val="18"/>
              </w:rPr>
              <w:t>First-language speakers (Census 2011)</w:t>
            </w:r>
          </w:p>
        </w:tc>
        <w:tc>
          <w:tcPr>
            <w:tcW w:type="dxa" w:w="2041"/>
            <w:shd w:val="clear" w:color="auto" w:fill="0F766E"/>
          </w:tcPr>
          <w:p>
            <w:pPr>
              <w:keepNext/>
              <w:spacing w:after="20"/>
            </w:pPr>
            <w:r>
              <w:rPr>
                <w:sz w:val="18"/>
              </w:rPr>
            </w:r>
            <w:r>
              <w:rPr>
                <w:b/>
                <w:color w:val="FFFFFF"/>
                <w:sz w:val="18"/>
              </w:rPr>
              <w:t>Share of India</w:t>
            </w:r>
          </w:p>
        </w:tc>
        <w:tc>
          <w:tcPr>
            <w:tcW w:type="dxa" w:w="907"/>
            <w:shd w:val="clear" w:color="auto" w:fill="0F766E"/>
          </w:tcPr>
          <w:p>
            <w:pPr>
              <w:keepNext/>
              <w:spacing w:after="20"/>
            </w:pPr>
            <w:r>
              <w:rPr>
                <w:sz w:val="18"/>
              </w:rPr>
            </w:r>
            <w:r>
              <w:rPr>
                <w:b/>
                <w:color w:val="FFFFFF"/>
                <w:sz w:val="18"/>
              </w:rPr>
              <w:t>Src</w:t>
            </w:r>
          </w:p>
        </w:tc>
      </w:tr>
      <w:tr>
        <w:tc>
          <w:tcPr>
            <w:tcW w:type="dxa" w:w="1814"/>
          </w:tcPr>
          <w:p>
            <w:pPr>
              <w:spacing w:after="20"/>
            </w:pPr>
            <w:r>
              <w:rPr>
                <w:sz w:val="18"/>
              </w:rPr>
            </w:r>
            <w:r>
              <w:rPr>
                <w:sz w:val="18"/>
              </w:rPr>
              <w:t>Hindi</w:t>
            </w:r>
          </w:p>
        </w:tc>
        <w:tc>
          <w:tcPr>
            <w:tcW w:type="dxa" w:w="4649"/>
          </w:tcPr>
          <w:p>
            <w:pPr>
              <w:spacing w:after="20"/>
            </w:pPr>
            <w:r>
              <w:rPr>
                <w:sz w:val="18"/>
              </w:rPr>
            </w:r>
            <w:r>
              <w:rPr>
                <w:sz w:val="18"/>
              </w:rPr>
              <w:t>52.8 crore (≈ 69 crore incl. second/third language)</w:t>
            </w:r>
          </w:p>
        </w:tc>
        <w:tc>
          <w:tcPr>
            <w:tcW w:type="dxa" w:w="2041"/>
          </w:tcPr>
          <w:p>
            <w:pPr>
              <w:spacing w:after="20"/>
            </w:pPr>
            <w:r>
              <w:rPr>
                <w:sz w:val="18"/>
              </w:rPr>
            </w:r>
            <w:r>
              <w:rPr>
                <w:sz w:val="18"/>
              </w:rPr>
              <w:t>43.6%</w:t>
            </w:r>
          </w:p>
        </w:tc>
        <w:tc>
          <w:tcPr>
            <w:tcW w:type="dxa" w:w="907"/>
          </w:tcPr>
          <w:p>
            <w:pPr>
              <w:spacing w:after="20"/>
            </w:pPr>
            <w:r>
              <w:rPr>
                <w:sz w:val="18"/>
              </w:rPr>
            </w:r>
            <w:r>
              <w:rPr>
                <w:sz w:val="18"/>
              </w:rPr>
              <w:t>[18]</w:t>
            </w:r>
          </w:p>
        </w:tc>
      </w:tr>
      <w:tr>
        <w:tc>
          <w:tcPr>
            <w:tcW w:type="dxa" w:w="1814"/>
            <w:shd w:val="clear" w:color="auto" w:fill="F3F0EB"/>
          </w:tcPr>
          <w:p>
            <w:pPr>
              <w:spacing w:after="20"/>
            </w:pPr>
            <w:r>
              <w:rPr>
                <w:sz w:val="18"/>
              </w:rPr>
            </w:r>
            <w:r>
              <w:rPr>
                <w:sz w:val="18"/>
              </w:rPr>
              <w:t>Tamil</w:t>
            </w:r>
          </w:p>
        </w:tc>
        <w:tc>
          <w:tcPr>
            <w:tcW w:type="dxa" w:w="4649"/>
            <w:shd w:val="clear" w:color="auto" w:fill="F3F0EB"/>
          </w:tcPr>
          <w:p>
            <w:pPr>
              <w:spacing w:after="20"/>
            </w:pPr>
            <w:r>
              <w:rPr>
                <w:sz w:val="18"/>
              </w:rPr>
            </w:r>
            <w:r>
              <w:rPr>
                <w:sz w:val="18"/>
              </w:rPr>
              <w:t>6.9 crore (≈ 7.7 crore incl. second/third language)</w:t>
            </w:r>
          </w:p>
        </w:tc>
        <w:tc>
          <w:tcPr>
            <w:tcW w:type="dxa" w:w="2041"/>
            <w:shd w:val="clear" w:color="auto" w:fill="F3F0EB"/>
          </w:tcPr>
          <w:p>
            <w:pPr>
              <w:spacing w:after="20"/>
            </w:pPr>
            <w:r>
              <w:rPr>
                <w:sz w:val="18"/>
              </w:rPr>
            </w:r>
            <w:r>
              <w:rPr>
                <w:sz w:val="18"/>
              </w:rPr>
              <w:t>5.7%</w:t>
            </w:r>
          </w:p>
        </w:tc>
        <w:tc>
          <w:tcPr>
            <w:tcW w:type="dxa" w:w="907"/>
            <w:shd w:val="clear" w:color="auto" w:fill="F3F0EB"/>
          </w:tcPr>
          <w:p>
            <w:pPr>
              <w:spacing w:after="20"/>
            </w:pPr>
            <w:r>
              <w:rPr>
                <w:sz w:val="18"/>
              </w:rPr>
            </w:r>
            <w:r>
              <w:rPr>
                <w:sz w:val="18"/>
              </w:rPr>
              <w:t>[18]</w:t>
            </w:r>
          </w:p>
        </w:tc>
      </w:tr>
      <w:tr>
        <w:tc>
          <w:tcPr>
            <w:tcW w:type="dxa" w:w="1814"/>
          </w:tcPr>
          <w:p>
            <w:pPr>
              <w:spacing w:after="20"/>
            </w:pPr>
            <w:r>
              <w:rPr>
                <w:sz w:val="18"/>
              </w:rPr>
            </w:r>
            <w:r>
              <w:rPr>
                <w:sz w:val="18"/>
              </w:rPr>
              <w:t>Hindi + Tamil</w:t>
            </w:r>
          </w:p>
        </w:tc>
        <w:tc>
          <w:tcPr>
            <w:tcW w:type="dxa" w:w="4649"/>
          </w:tcPr>
          <w:p>
            <w:pPr>
              <w:spacing w:after="20"/>
            </w:pPr>
            <w:r>
              <w:rPr>
                <w:sz w:val="18"/>
              </w:rPr>
            </w:r>
            <w:r>
              <w:rPr>
                <w:sz w:val="18"/>
              </w:rPr>
              <w:t>≈ 59.7 crore first-language speakers</w:t>
            </w:r>
          </w:p>
        </w:tc>
        <w:tc>
          <w:tcPr>
            <w:tcW w:type="dxa" w:w="2041"/>
          </w:tcPr>
          <w:p>
            <w:pPr>
              <w:spacing w:after="20"/>
            </w:pPr>
            <w:r>
              <w:rPr>
                <w:sz w:val="18"/>
              </w:rPr>
            </w:r>
            <w:r>
              <w:rPr>
                <w:sz w:val="18"/>
              </w:rPr>
              <w:t>≈ 49.3%</w:t>
            </w:r>
          </w:p>
        </w:tc>
        <w:tc>
          <w:tcPr>
            <w:tcW w:type="dxa" w:w="907"/>
          </w:tcPr>
          <w:p>
            <w:pPr>
              <w:spacing w:after="20"/>
            </w:pPr>
            <w:r>
              <w:rPr>
                <w:sz w:val="18"/>
              </w:rPr>
            </w:r>
            <w:r>
              <w:rPr>
                <w:sz w:val="18"/>
              </w:rPr>
              <w:t>[18]</w:t>
            </w:r>
          </w:p>
        </w:tc>
      </w:tr>
    </w:tbl>
    <w:p/>
    <w:p>
      <w:r>
        <w:rPr>
          <w:b w:val="0"/>
          <w:i w:val="0"/>
        </w:rPr>
        <w:t>Almost every speech-therapy app is built for English sounds. Tamil sounds such as ழ, ள and the retroflex consonants, and Hindi contrasts such as श/स and aspirated ख/क, are not covered — even though roughly half of India speaks one of these two languages as a first language.</w:t>
      </w:r>
    </w:p>
    <w:p>
      <w:pPr>
        <w:pStyle w:val="Heading1"/>
      </w:pPr>
      <w:r>
        <w:t>2. The supply gap: too few therapists</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3402"/>
            <w:shd w:val="clear" w:color="auto" w:fill="0F766E"/>
          </w:tcPr>
          <w:p>
            <w:pPr>
              <w:keepNext/>
              <w:spacing w:after="20"/>
            </w:pPr>
            <w:r>
              <w:rPr>
                <w:sz w:val="18"/>
              </w:rPr>
            </w:r>
            <w:r>
              <w:rPr>
                <w:b/>
                <w:color w:val="FFFFFF"/>
                <w:sz w:val="18"/>
              </w:rPr>
              <w:t>Indicator</w:t>
            </w:r>
          </w:p>
        </w:tc>
        <w:tc>
          <w:tcPr>
            <w:tcW w:type="dxa" w:w="5102"/>
            <w:shd w:val="clear" w:color="auto" w:fill="0F766E"/>
          </w:tcPr>
          <w:p>
            <w:pPr>
              <w:keepNext/>
              <w:spacing w:after="20"/>
            </w:pPr>
            <w:r>
              <w:rPr>
                <w:sz w:val="18"/>
              </w:rPr>
            </w:r>
            <w:r>
              <w:rPr>
                <w:b/>
                <w:color w:val="FFFFFF"/>
                <w:sz w:val="18"/>
              </w:rPr>
              <w:t>Figure</w:t>
            </w:r>
          </w:p>
        </w:tc>
        <w:tc>
          <w:tcPr>
            <w:tcW w:type="dxa" w:w="907"/>
            <w:shd w:val="clear" w:color="auto" w:fill="0F766E"/>
          </w:tcPr>
          <w:p>
            <w:pPr>
              <w:keepNext/>
              <w:spacing w:after="20"/>
            </w:pPr>
            <w:r>
              <w:rPr>
                <w:sz w:val="18"/>
              </w:rPr>
            </w:r>
            <w:r>
              <w:rPr>
                <w:b/>
                <w:color w:val="FFFFFF"/>
                <w:sz w:val="18"/>
              </w:rPr>
              <w:t>Src</w:t>
            </w:r>
          </w:p>
        </w:tc>
      </w:tr>
      <w:tr>
        <w:tc>
          <w:tcPr>
            <w:tcW w:type="dxa" w:w="3402"/>
          </w:tcPr>
          <w:p>
            <w:pPr>
              <w:spacing w:after="20"/>
            </w:pPr>
            <w:r>
              <w:rPr>
                <w:sz w:val="18"/>
              </w:rPr>
            </w:r>
            <w:r>
              <w:rPr>
                <w:sz w:val="18"/>
              </w:rPr>
              <w:t>Registered speech-language pathologists &amp; audiologists</w:t>
            </w:r>
          </w:p>
        </w:tc>
        <w:tc>
          <w:tcPr>
            <w:tcW w:type="dxa" w:w="5102"/>
          </w:tcPr>
          <w:p>
            <w:pPr>
              <w:spacing w:after="20"/>
            </w:pPr>
            <w:r>
              <w:rPr>
                <w:sz w:val="18"/>
              </w:rPr>
            </w:r>
            <w:r>
              <w:rPr>
                <w:sz w:val="18"/>
              </w:rPr>
              <w:t>≈ 1,854 (ISHA directory) to 3,500+ (later estimates)</w:t>
            </w:r>
          </w:p>
        </w:tc>
        <w:tc>
          <w:tcPr>
            <w:tcW w:type="dxa" w:w="907"/>
          </w:tcPr>
          <w:p>
            <w:pPr>
              <w:spacing w:after="20"/>
            </w:pPr>
            <w:r>
              <w:rPr>
                <w:sz w:val="18"/>
              </w:rPr>
            </w:r>
            <w:r>
              <w:rPr>
                <w:sz w:val="18"/>
              </w:rPr>
              <w:t>[6, 7]</w:t>
            </w:r>
          </w:p>
        </w:tc>
      </w:tr>
      <w:tr>
        <w:tc>
          <w:tcPr>
            <w:tcW w:type="dxa" w:w="3402"/>
            <w:shd w:val="clear" w:color="auto" w:fill="F3F0EB"/>
          </w:tcPr>
          <w:p>
            <w:pPr>
              <w:spacing w:after="20"/>
            </w:pPr>
            <w:r>
              <w:rPr>
                <w:sz w:val="18"/>
              </w:rPr>
            </w:r>
            <w:r>
              <w:rPr>
                <w:sz w:val="18"/>
              </w:rPr>
              <w:t>Supply-to-need ratio</w:t>
            </w:r>
          </w:p>
        </w:tc>
        <w:tc>
          <w:tcPr>
            <w:tcW w:type="dxa" w:w="5102"/>
            <w:shd w:val="clear" w:color="auto" w:fill="F3F0EB"/>
          </w:tcPr>
          <w:p>
            <w:pPr>
              <w:spacing w:after="20"/>
            </w:pPr>
            <w:r>
              <w:rPr>
                <w:sz w:val="18"/>
              </w:rPr>
            </w:r>
            <w:r>
              <w:rPr>
                <w:sz w:val="18"/>
              </w:rPr>
              <w:t>≈ 1 professional per 32,000 people with communication disorders</w:t>
            </w:r>
          </w:p>
        </w:tc>
        <w:tc>
          <w:tcPr>
            <w:tcW w:type="dxa" w:w="907"/>
            <w:shd w:val="clear" w:color="auto" w:fill="F3F0EB"/>
          </w:tcPr>
          <w:p>
            <w:pPr>
              <w:spacing w:after="20"/>
            </w:pPr>
            <w:r>
              <w:rPr>
                <w:sz w:val="18"/>
              </w:rPr>
            </w:r>
            <w:r>
              <w:rPr>
                <w:sz w:val="18"/>
              </w:rPr>
              <w:t>[6]</w:t>
            </w:r>
          </w:p>
        </w:tc>
      </w:tr>
      <w:tr>
        <w:tc>
          <w:tcPr>
            <w:tcW w:type="dxa" w:w="3402"/>
          </w:tcPr>
          <w:p>
            <w:pPr>
              <w:spacing w:after="20"/>
            </w:pPr>
            <w:r>
              <w:rPr>
                <w:sz w:val="18"/>
              </w:rPr>
            </w:r>
            <w:r>
              <w:rPr>
                <w:sz w:val="18"/>
              </w:rPr>
              <w:t>New BASLP graduates per year</w:t>
            </w:r>
          </w:p>
        </w:tc>
        <w:tc>
          <w:tcPr>
            <w:tcW w:type="dxa" w:w="5102"/>
          </w:tcPr>
          <w:p>
            <w:pPr>
              <w:spacing w:after="20"/>
            </w:pPr>
            <w:r>
              <w:rPr>
                <w:sz w:val="18"/>
              </w:rPr>
            </w:r>
            <w:r>
              <w:rPr>
                <w:sz w:val="18"/>
              </w:rPr>
              <w:t>≈ 2,500; India produces about one-tenth of the audiologists it needs</w:t>
            </w:r>
          </w:p>
        </w:tc>
        <w:tc>
          <w:tcPr>
            <w:tcW w:type="dxa" w:w="907"/>
          </w:tcPr>
          <w:p>
            <w:pPr>
              <w:spacing w:after="20"/>
            </w:pPr>
            <w:r>
              <w:rPr>
                <w:sz w:val="18"/>
              </w:rPr>
            </w:r>
            <w:r>
              <w:rPr>
                <w:sz w:val="18"/>
              </w:rPr>
              <w:t>[7]</w:t>
            </w:r>
          </w:p>
        </w:tc>
      </w:tr>
      <w:tr>
        <w:tc>
          <w:tcPr>
            <w:tcW w:type="dxa" w:w="3402"/>
            <w:shd w:val="clear" w:color="auto" w:fill="F3F0EB"/>
          </w:tcPr>
          <w:p>
            <w:pPr>
              <w:spacing w:after="20"/>
            </w:pPr>
            <w:r>
              <w:rPr>
                <w:sz w:val="18"/>
              </w:rPr>
            </w:r>
            <w:r>
              <w:rPr>
                <w:sz w:val="18"/>
              </w:rPr>
              <w:t>Training institutions</w:t>
            </w:r>
          </w:p>
        </w:tc>
        <w:tc>
          <w:tcPr>
            <w:tcW w:type="dxa" w:w="5102"/>
            <w:shd w:val="clear" w:color="auto" w:fill="F3F0EB"/>
          </w:tcPr>
          <w:p>
            <w:pPr>
              <w:spacing w:after="20"/>
            </w:pPr>
            <w:r>
              <w:rPr>
                <w:sz w:val="18"/>
              </w:rPr>
            </w:r>
            <w:r>
              <w:rPr>
                <w:sz w:val="18"/>
              </w:rPr>
              <w:t>≈ 45–50 offer a bachelor’s degree; ≈ 10 a master’s</w:t>
            </w:r>
          </w:p>
        </w:tc>
        <w:tc>
          <w:tcPr>
            <w:tcW w:type="dxa" w:w="907"/>
            <w:shd w:val="clear" w:color="auto" w:fill="F3F0EB"/>
          </w:tcPr>
          <w:p>
            <w:pPr>
              <w:spacing w:after="20"/>
            </w:pPr>
            <w:r>
              <w:rPr>
                <w:sz w:val="18"/>
              </w:rPr>
            </w:r>
            <w:r>
              <w:rPr>
                <w:sz w:val="18"/>
              </w:rPr>
              <w:t>[6]</w:t>
            </w:r>
          </w:p>
        </w:tc>
      </w:tr>
      <w:tr>
        <w:tc>
          <w:tcPr>
            <w:tcW w:type="dxa" w:w="3402"/>
          </w:tcPr>
          <w:p>
            <w:pPr>
              <w:spacing w:after="20"/>
            </w:pPr>
            <w:r>
              <w:rPr>
                <w:sz w:val="18"/>
              </w:rPr>
            </w:r>
            <w:r>
              <w:rPr>
                <w:sz w:val="18"/>
              </w:rPr>
              <w:t>Brain drain</w:t>
            </w:r>
          </w:p>
        </w:tc>
        <w:tc>
          <w:tcPr>
            <w:tcW w:type="dxa" w:w="5102"/>
          </w:tcPr>
          <w:p>
            <w:pPr>
              <w:spacing w:after="20"/>
            </w:pPr>
            <w:r>
              <w:rPr>
                <w:sz w:val="18"/>
              </w:rPr>
            </w:r>
            <w:r>
              <w:rPr>
                <w:sz w:val="18"/>
              </w:rPr>
              <w:t>Graduates migrate to North America, Western Europe and the Gulf</w:t>
            </w:r>
          </w:p>
        </w:tc>
        <w:tc>
          <w:tcPr>
            <w:tcW w:type="dxa" w:w="907"/>
          </w:tcPr>
          <w:p>
            <w:pPr>
              <w:spacing w:after="20"/>
            </w:pPr>
            <w:r>
              <w:rPr>
                <w:sz w:val="18"/>
              </w:rPr>
            </w:r>
            <w:r>
              <w:rPr>
                <w:sz w:val="18"/>
              </w:rPr>
              <w:t>[6]</w:t>
            </w:r>
          </w:p>
        </w:tc>
      </w:tr>
      <w:tr>
        <w:tc>
          <w:tcPr>
            <w:tcW w:type="dxa" w:w="3402"/>
            <w:shd w:val="clear" w:color="auto" w:fill="F3F0EB"/>
          </w:tcPr>
          <w:p>
            <w:pPr>
              <w:spacing w:after="20"/>
            </w:pPr>
            <w:r>
              <w:rPr>
                <w:sz w:val="18"/>
              </w:rPr>
            </w:r>
            <w:r>
              <w:rPr>
                <w:sz w:val="18"/>
              </w:rPr>
              <w:t>Geography</w:t>
            </w:r>
          </w:p>
        </w:tc>
        <w:tc>
          <w:tcPr>
            <w:tcW w:type="dxa" w:w="5102"/>
            <w:shd w:val="clear" w:color="auto" w:fill="F3F0EB"/>
          </w:tcPr>
          <w:p>
            <w:pPr>
              <w:spacing w:after="20"/>
            </w:pPr>
            <w:r>
              <w:rPr>
                <w:sz w:val="18"/>
              </w:rPr>
            </w:r>
            <w:r>
              <w:rPr>
                <w:sz w:val="18"/>
              </w:rPr>
              <w:t>Services are skewed to cities; rural and semi-urban needs are largely unmet</w:t>
            </w:r>
          </w:p>
        </w:tc>
        <w:tc>
          <w:tcPr>
            <w:tcW w:type="dxa" w:w="907"/>
            <w:shd w:val="clear" w:color="auto" w:fill="F3F0EB"/>
          </w:tcPr>
          <w:p>
            <w:pPr>
              <w:spacing w:after="20"/>
            </w:pPr>
            <w:r>
              <w:rPr>
                <w:sz w:val="18"/>
              </w:rPr>
            </w:r>
            <w:r>
              <w:rPr>
                <w:sz w:val="18"/>
              </w:rPr>
              <w:t>[8]</w:t>
            </w:r>
          </w:p>
        </w:tc>
      </w:tr>
    </w:tbl>
    <w:p/>
    <w:p>
      <w:r>
        <w:rPr>
          <w:b w:val="0"/>
          <w:i w:val="0"/>
        </w:rPr>
        <w:t>Even with the right referral, families wait for appointments, travel long distances and can rarely afford the 2–3 sessions a week the evidence recommends. Therapists, in turn, cannot see what happens between sessions — and home practice is where most of the repetition must happen.</w:t>
      </w:r>
    </w:p>
    <w:tbl>
      <w:tblPr>
        <w:tblW w:type="auto" w:w="0"/>
        <w:jc w:val="center"/>
        <w:tblLook w:firstColumn="1" w:firstRow="1" w:lastColumn="0" w:lastRow="0" w:noHBand="0" w:noVBand="1" w:val="04A0"/>
      </w:tblPr>
      <w:tblGrid>
        <w:gridCol w:w="9412"/>
      </w:tblGrid>
      <w:tr>
        <w:tc>
          <w:tcPr>
            <w:tcW w:type="dxa" w:w="9411"/>
            <w:shd w:val="clear" w:color="auto" w:fill="E3F2EF"/>
          </w:tcPr>
          <w:p>
            <w:r>
              <w:rPr>
                <w:sz w:val="20"/>
              </w:rPr>
            </w:r>
            <w:r>
              <w:rPr>
                <w:b/>
                <w:sz w:val="20"/>
              </w:rPr>
              <w:t xml:space="preserve">The core insight.  </w:t>
            </w:r>
            <w:r>
              <w:rPr>
                <w:sz w:val="20"/>
              </w:rPr>
              <w:t>Improvement in speech-sound disorders comes from many correct repetitions (evidence suggests 50–100+ practice trials per session, at least twice a week) [10]. A therapist’s time is the bottleneck; guided, checked home practice is where an app can multiply each therapist’s reach.</w:t>
            </w:r>
          </w:p>
        </w:tc>
      </w:tr>
    </w:tbl>
    <w:p/>
    <w:p>
      <w:pPr>
        <w:pStyle w:val="Heading1"/>
      </w:pPr>
      <w:r>
        <w:t>3. What therapy costs families today</w:t>
      </w:r>
    </w:p>
    <w:p>
      <w:pPr>
        <w:pStyle w:val="Heading2"/>
      </w:pPr>
      <w:r>
        <w:t>3.1 Price per session</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3402"/>
            <w:shd w:val="clear" w:color="auto" w:fill="0F766E"/>
          </w:tcPr>
          <w:p>
            <w:pPr>
              <w:keepNext/>
              <w:spacing w:after="20"/>
            </w:pPr>
            <w:r>
              <w:rPr>
                <w:sz w:val="18"/>
              </w:rPr>
            </w:r>
            <w:r>
              <w:rPr>
                <w:b/>
                <w:color w:val="FFFFFF"/>
                <w:sz w:val="18"/>
              </w:rPr>
              <w:t>Setting</w:t>
            </w:r>
          </w:p>
        </w:tc>
        <w:tc>
          <w:tcPr>
            <w:tcW w:type="dxa" w:w="5102"/>
            <w:shd w:val="clear" w:color="auto" w:fill="0F766E"/>
          </w:tcPr>
          <w:p>
            <w:pPr>
              <w:keepNext/>
              <w:spacing w:after="20"/>
            </w:pPr>
            <w:r>
              <w:rPr>
                <w:sz w:val="18"/>
              </w:rPr>
            </w:r>
            <w:r>
              <w:rPr>
                <w:b/>
                <w:color w:val="FFFFFF"/>
                <w:sz w:val="18"/>
              </w:rPr>
              <w:t>Typical price per session</w:t>
            </w:r>
          </w:p>
        </w:tc>
        <w:tc>
          <w:tcPr>
            <w:tcW w:type="dxa" w:w="907"/>
            <w:shd w:val="clear" w:color="auto" w:fill="0F766E"/>
          </w:tcPr>
          <w:p>
            <w:pPr>
              <w:keepNext/>
              <w:spacing w:after="20"/>
            </w:pPr>
            <w:r>
              <w:rPr>
                <w:sz w:val="18"/>
              </w:rPr>
            </w:r>
            <w:r>
              <w:rPr>
                <w:b/>
                <w:color w:val="FFFFFF"/>
                <w:sz w:val="18"/>
              </w:rPr>
              <w:t>Src</w:t>
            </w:r>
          </w:p>
        </w:tc>
      </w:tr>
      <w:tr>
        <w:tc>
          <w:tcPr>
            <w:tcW w:type="dxa" w:w="3402"/>
          </w:tcPr>
          <w:p>
            <w:pPr>
              <w:spacing w:after="20"/>
            </w:pPr>
            <w:r>
              <w:rPr>
                <w:sz w:val="18"/>
              </w:rPr>
            </w:r>
            <w:r>
              <w:rPr>
                <w:sz w:val="18"/>
              </w:rPr>
              <w:t>Government hospital</w:t>
            </w:r>
          </w:p>
        </w:tc>
        <w:tc>
          <w:tcPr>
            <w:tcW w:type="dxa" w:w="5102"/>
          </w:tcPr>
          <w:p>
            <w:pPr>
              <w:spacing w:after="20"/>
            </w:pPr>
            <w:r>
              <w:rPr>
                <w:sz w:val="18"/>
              </w:rPr>
            </w:r>
            <w:r>
              <w:rPr>
                <w:sz w:val="18"/>
              </w:rPr>
              <w:t>₹150–500 (long waits, few centres)</w:t>
            </w:r>
          </w:p>
        </w:tc>
        <w:tc>
          <w:tcPr>
            <w:tcW w:type="dxa" w:w="907"/>
          </w:tcPr>
          <w:p>
            <w:pPr>
              <w:spacing w:after="20"/>
            </w:pPr>
            <w:r>
              <w:rPr>
                <w:sz w:val="18"/>
              </w:rPr>
            </w:r>
            <w:r>
              <w:rPr>
                <w:sz w:val="18"/>
              </w:rPr>
              <w:t>[9, 11]</w:t>
            </w:r>
          </w:p>
        </w:tc>
      </w:tr>
      <w:tr>
        <w:tc>
          <w:tcPr>
            <w:tcW w:type="dxa" w:w="3402"/>
            <w:shd w:val="clear" w:color="auto" w:fill="F3F0EB"/>
          </w:tcPr>
          <w:p>
            <w:pPr>
              <w:spacing w:after="20"/>
            </w:pPr>
            <w:r>
              <w:rPr>
                <w:sz w:val="18"/>
              </w:rPr>
            </w:r>
            <w:r>
              <w:rPr>
                <w:sz w:val="18"/>
              </w:rPr>
              <w:t>Online teletherapy</w:t>
            </w:r>
          </w:p>
        </w:tc>
        <w:tc>
          <w:tcPr>
            <w:tcW w:type="dxa" w:w="5102"/>
            <w:shd w:val="clear" w:color="auto" w:fill="F3F0EB"/>
          </w:tcPr>
          <w:p>
            <w:pPr>
              <w:spacing w:after="20"/>
            </w:pPr>
            <w:r>
              <w:rPr>
                <w:sz w:val="18"/>
              </w:rPr>
            </w:r>
            <w:r>
              <w:rPr>
                <w:sz w:val="18"/>
              </w:rPr>
              <w:t>₹600–1,500 (30–45 min)</w:t>
            </w:r>
          </w:p>
        </w:tc>
        <w:tc>
          <w:tcPr>
            <w:tcW w:type="dxa" w:w="907"/>
            <w:shd w:val="clear" w:color="auto" w:fill="F3F0EB"/>
          </w:tcPr>
          <w:p>
            <w:pPr>
              <w:spacing w:after="20"/>
            </w:pPr>
            <w:r>
              <w:rPr>
                <w:sz w:val="18"/>
              </w:rPr>
            </w:r>
            <w:r>
              <w:rPr>
                <w:sz w:val="18"/>
              </w:rPr>
              <w:t>[9]</w:t>
            </w:r>
          </w:p>
        </w:tc>
      </w:tr>
      <w:tr>
        <w:tc>
          <w:tcPr>
            <w:tcW w:type="dxa" w:w="3402"/>
          </w:tcPr>
          <w:p>
            <w:pPr>
              <w:spacing w:after="20"/>
            </w:pPr>
            <w:r>
              <w:rPr>
                <w:sz w:val="18"/>
              </w:rPr>
            </w:r>
            <w:r>
              <w:rPr>
                <w:sz w:val="18"/>
              </w:rPr>
              <w:t>Private clinic, metro</w:t>
            </w:r>
          </w:p>
        </w:tc>
        <w:tc>
          <w:tcPr>
            <w:tcW w:type="dxa" w:w="5102"/>
          </w:tcPr>
          <w:p>
            <w:pPr>
              <w:spacing w:after="20"/>
            </w:pPr>
            <w:r>
              <w:rPr>
                <w:sz w:val="18"/>
              </w:rPr>
            </w:r>
            <w:r>
              <w:rPr>
                <w:sz w:val="18"/>
              </w:rPr>
              <w:t>₹1,000–2,500</w:t>
            </w:r>
          </w:p>
        </w:tc>
        <w:tc>
          <w:tcPr>
            <w:tcW w:type="dxa" w:w="907"/>
          </w:tcPr>
          <w:p>
            <w:pPr>
              <w:spacing w:after="20"/>
            </w:pPr>
            <w:r>
              <w:rPr>
                <w:sz w:val="18"/>
              </w:rPr>
            </w:r>
            <w:r>
              <w:rPr>
                <w:sz w:val="18"/>
              </w:rPr>
              <w:t>[9, 11]</w:t>
            </w:r>
          </w:p>
        </w:tc>
      </w:tr>
      <w:tr>
        <w:tc>
          <w:tcPr>
            <w:tcW w:type="dxa" w:w="3402"/>
            <w:shd w:val="clear" w:color="auto" w:fill="F3F0EB"/>
          </w:tcPr>
          <w:p>
            <w:pPr>
              <w:spacing w:after="20"/>
            </w:pPr>
            <w:r>
              <w:rPr>
                <w:sz w:val="18"/>
              </w:rPr>
            </w:r>
            <w:r>
              <w:rPr>
                <w:sz w:val="18"/>
              </w:rPr>
              <w:t>Specialist centre</w:t>
            </w:r>
          </w:p>
        </w:tc>
        <w:tc>
          <w:tcPr>
            <w:tcW w:type="dxa" w:w="5102"/>
            <w:shd w:val="clear" w:color="auto" w:fill="F3F0EB"/>
          </w:tcPr>
          <w:p>
            <w:pPr>
              <w:spacing w:after="20"/>
            </w:pPr>
            <w:r>
              <w:rPr>
                <w:sz w:val="18"/>
              </w:rPr>
            </w:r>
            <w:r>
              <w:rPr>
                <w:sz w:val="18"/>
              </w:rPr>
              <w:t>₹3,000–6,000</w:t>
            </w:r>
          </w:p>
        </w:tc>
        <w:tc>
          <w:tcPr>
            <w:tcW w:type="dxa" w:w="907"/>
            <w:shd w:val="clear" w:color="auto" w:fill="F3F0EB"/>
          </w:tcPr>
          <w:p>
            <w:pPr>
              <w:spacing w:after="20"/>
            </w:pPr>
            <w:r>
              <w:rPr>
                <w:sz w:val="18"/>
              </w:rPr>
            </w:r>
            <w:r>
              <w:rPr>
                <w:sz w:val="18"/>
              </w:rPr>
              <w:t>[11]</w:t>
            </w:r>
          </w:p>
        </w:tc>
      </w:tr>
      <w:tr>
        <w:tc>
          <w:tcPr>
            <w:tcW w:type="dxa" w:w="3402"/>
          </w:tcPr>
          <w:p>
            <w:pPr>
              <w:spacing w:after="20"/>
            </w:pPr>
            <w:r>
              <w:rPr>
                <w:sz w:val="18"/>
              </w:rPr>
            </w:r>
            <w:r>
              <w:rPr>
                <w:sz w:val="18"/>
              </w:rPr>
              <w:t>Initial assessment (one-time)</w:t>
            </w:r>
          </w:p>
        </w:tc>
        <w:tc>
          <w:tcPr>
            <w:tcW w:type="dxa" w:w="5102"/>
          </w:tcPr>
          <w:p>
            <w:pPr>
              <w:spacing w:after="20"/>
            </w:pPr>
            <w:r>
              <w:rPr>
                <w:sz w:val="18"/>
              </w:rPr>
            </w:r>
            <w:r>
              <w:rPr>
                <w:sz w:val="18"/>
              </w:rPr>
              <w:t>₹500–3,000</w:t>
            </w:r>
          </w:p>
        </w:tc>
        <w:tc>
          <w:tcPr>
            <w:tcW w:type="dxa" w:w="907"/>
          </w:tcPr>
          <w:p>
            <w:pPr>
              <w:spacing w:after="20"/>
            </w:pPr>
            <w:r>
              <w:rPr>
                <w:sz w:val="18"/>
              </w:rPr>
            </w:r>
            <w:r>
              <w:rPr>
                <w:sz w:val="18"/>
              </w:rPr>
              <w:t>[11]</w:t>
            </w:r>
          </w:p>
        </w:tc>
      </w:tr>
    </w:tbl>
    <w:p/>
    <w:p>
      <w:pPr>
        <w:pStyle w:val="Heading2"/>
      </w:pPr>
      <w:r>
        <w:t>3.2 Cost of a full course</w:t>
      </w:r>
    </w:p>
    <w:p>
      <w:r>
        <w:rPr>
          <w:b w:val="0"/>
          <w:i w:val="0"/>
        </w:rPr>
        <w:t>Typical evidence-based pattern for speech-sound disorders: about 2 sessions a week, 30–60 minutes, for 12–18 weeks (average ≈ 19 sessions in phonological studies) [10]. We assume 24 sessions over 12 weeks.</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3061"/>
            <w:shd w:val="clear" w:color="auto" w:fill="0F766E"/>
          </w:tcPr>
          <w:p>
            <w:pPr>
              <w:keepNext/>
              <w:spacing w:after="20"/>
            </w:pPr>
            <w:r>
              <w:rPr>
                <w:sz w:val="18"/>
              </w:rPr>
            </w:r>
            <w:r>
              <w:rPr>
                <w:b/>
                <w:color w:val="FFFFFF"/>
                <w:sz w:val="18"/>
              </w:rPr>
              <w:t>Option</w:t>
            </w:r>
          </w:p>
        </w:tc>
        <w:tc>
          <w:tcPr>
            <w:tcW w:type="dxa" w:w="3175"/>
            <w:shd w:val="clear" w:color="auto" w:fill="0F766E"/>
          </w:tcPr>
          <w:p>
            <w:pPr>
              <w:keepNext/>
              <w:spacing w:after="20"/>
            </w:pPr>
            <w:r>
              <w:rPr>
                <w:sz w:val="18"/>
              </w:rPr>
            </w:r>
            <w:r>
              <w:rPr>
                <w:b/>
                <w:color w:val="FFFFFF"/>
                <w:sz w:val="18"/>
              </w:rPr>
              <w:t>24-session course (our estimate)</w:t>
            </w:r>
          </w:p>
        </w:tc>
        <w:tc>
          <w:tcPr>
            <w:tcW w:type="dxa" w:w="3175"/>
            <w:shd w:val="clear" w:color="auto" w:fill="0F766E"/>
          </w:tcPr>
          <w:p>
            <w:pPr>
              <w:keepNext/>
              <w:spacing w:after="20"/>
            </w:pPr>
            <w:r>
              <w:rPr>
                <w:sz w:val="18"/>
              </w:rPr>
            </w:r>
            <w:r>
              <w:rPr>
                <w:b/>
                <w:color w:val="FFFFFF"/>
                <w:sz w:val="18"/>
              </w:rPr>
              <w:t>Plus hidden costs</w:t>
            </w:r>
          </w:p>
        </w:tc>
      </w:tr>
      <w:tr>
        <w:tc>
          <w:tcPr>
            <w:tcW w:type="dxa" w:w="3061"/>
          </w:tcPr>
          <w:p>
            <w:pPr>
              <w:spacing w:after="20"/>
            </w:pPr>
            <w:r>
              <w:rPr>
                <w:sz w:val="18"/>
              </w:rPr>
            </w:r>
            <w:r>
              <w:rPr>
                <w:sz w:val="18"/>
              </w:rPr>
              <w:t>Private clinic, metro</w:t>
            </w:r>
          </w:p>
        </w:tc>
        <w:tc>
          <w:tcPr>
            <w:tcW w:type="dxa" w:w="3175"/>
          </w:tcPr>
          <w:p>
            <w:pPr>
              <w:spacing w:after="20"/>
            </w:pPr>
            <w:r>
              <w:rPr>
                <w:sz w:val="18"/>
              </w:rPr>
            </w:r>
            <w:r>
              <w:rPr>
                <w:sz w:val="18"/>
              </w:rPr>
              <w:t>₹24,000–60,000</w:t>
            </w:r>
          </w:p>
        </w:tc>
        <w:tc>
          <w:tcPr>
            <w:tcW w:type="dxa" w:w="3175"/>
          </w:tcPr>
          <w:p>
            <w:pPr>
              <w:spacing w:after="20"/>
            </w:pPr>
            <w:r>
              <w:rPr>
                <w:sz w:val="18"/>
              </w:rPr>
            </w:r>
            <w:r>
              <w:rPr>
                <w:sz w:val="18"/>
              </w:rPr>
              <w:t>Travel, a parent’s lost workday per visit</w:t>
            </w:r>
          </w:p>
        </w:tc>
      </w:tr>
      <w:tr>
        <w:tc>
          <w:tcPr>
            <w:tcW w:type="dxa" w:w="3061"/>
            <w:shd w:val="clear" w:color="auto" w:fill="F3F0EB"/>
          </w:tcPr>
          <w:p>
            <w:pPr>
              <w:spacing w:after="20"/>
            </w:pPr>
            <w:r>
              <w:rPr>
                <w:sz w:val="18"/>
              </w:rPr>
            </w:r>
            <w:r>
              <w:rPr>
                <w:sz w:val="18"/>
              </w:rPr>
              <w:t>Online teletherapy</w:t>
            </w:r>
          </w:p>
        </w:tc>
        <w:tc>
          <w:tcPr>
            <w:tcW w:type="dxa" w:w="3175"/>
            <w:shd w:val="clear" w:color="auto" w:fill="F3F0EB"/>
          </w:tcPr>
          <w:p>
            <w:pPr>
              <w:spacing w:after="20"/>
            </w:pPr>
            <w:r>
              <w:rPr>
                <w:sz w:val="18"/>
              </w:rPr>
            </w:r>
            <w:r>
              <w:rPr>
                <w:sz w:val="18"/>
              </w:rPr>
              <w:t>₹14,400–36,000</w:t>
            </w:r>
          </w:p>
        </w:tc>
        <w:tc>
          <w:tcPr>
            <w:tcW w:type="dxa" w:w="3175"/>
            <w:shd w:val="clear" w:color="auto" w:fill="F3F0EB"/>
          </w:tcPr>
          <w:p>
            <w:pPr>
              <w:spacing w:after="20"/>
            </w:pPr>
            <w:r>
              <w:rPr>
                <w:sz w:val="18"/>
              </w:rPr>
            </w:r>
            <w:r>
              <w:rPr>
                <w:sz w:val="18"/>
              </w:rPr>
              <w:t>Data, a free adult at fixed times</w:t>
            </w:r>
          </w:p>
        </w:tc>
      </w:tr>
      <w:tr>
        <w:tc>
          <w:tcPr>
            <w:tcW w:type="dxa" w:w="3061"/>
          </w:tcPr>
          <w:p>
            <w:pPr>
              <w:spacing w:after="20"/>
            </w:pPr>
            <w:r>
              <w:rPr>
                <w:sz w:val="18"/>
              </w:rPr>
            </w:r>
            <w:r>
              <w:rPr>
                <w:sz w:val="18"/>
              </w:rPr>
              <w:t>Government hospital</w:t>
            </w:r>
          </w:p>
        </w:tc>
        <w:tc>
          <w:tcPr>
            <w:tcW w:type="dxa" w:w="3175"/>
          </w:tcPr>
          <w:p>
            <w:pPr>
              <w:spacing w:after="20"/>
            </w:pPr>
            <w:r>
              <w:rPr>
                <w:sz w:val="18"/>
              </w:rPr>
            </w:r>
            <w:r>
              <w:rPr>
                <w:sz w:val="18"/>
              </w:rPr>
              <w:t>₹3,600–12,000</w:t>
            </w:r>
          </w:p>
        </w:tc>
        <w:tc>
          <w:tcPr>
            <w:tcW w:type="dxa" w:w="3175"/>
          </w:tcPr>
          <w:p>
            <w:pPr>
              <w:spacing w:after="20"/>
            </w:pPr>
            <w:r>
              <w:rPr>
                <w:sz w:val="18"/>
              </w:rPr>
            </w:r>
            <w:r>
              <w:rPr>
                <w:sz w:val="18"/>
              </w:rPr>
              <w:t>Long travel and waiting; limited availability</w:t>
            </w:r>
          </w:p>
        </w:tc>
      </w:tr>
      <w:tr>
        <w:tc>
          <w:tcPr>
            <w:tcW w:type="dxa" w:w="3061"/>
            <w:shd w:val="clear" w:color="auto" w:fill="F3F0EB"/>
          </w:tcPr>
          <w:p>
            <w:pPr>
              <w:spacing w:after="20"/>
            </w:pPr>
            <w:r>
              <w:rPr>
                <w:sz w:val="18"/>
              </w:rPr>
            </w:r>
            <w:r>
              <w:rPr>
                <w:sz w:val="18"/>
              </w:rPr>
              <w:t>SayBetter + therapist (hybrid, proposed)</w:t>
            </w:r>
          </w:p>
        </w:tc>
        <w:tc>
          <w:tcPr>
            <w:tcW w:type="dxa" w:w="3175"/>
            <w:shd w:val="clear" w:color="auto" w:fill="F3F0EB"/>
          </w:tcPr>
          <w:p>
            <w:pPr>
              <w:spacing w:after="20"/>
            </w:pPr>
            <w:r>
              <w:rPr>
                <w:sz w:val="18"/>
              </w:rPr>
            </w:r>
            <w:r>
              <w:rPr>
                <w:sz w:val="18"/>
              </w:rPr>
              <w:t>≈ ₹7,000 (6 therapist sessions + 1 year of the app)</w:t>
            </w:r>
          </w:p>
        </w:tc>
        <w:tc>
          <w:tcPr>
            <w:tcW w:type="dxa" w:w="3175"/>
            <w:shd w:val="clear" w:color="auto" w:fill="F3F0EB"/>
          </w:tcPr>
          <w:p>
            <w:pPr>
              <w:spacing w:after="20"/>
            </w:pPr>
            <w:r>
              <w:rPr>
                <w:sz w:val="18"/>
              </w:rPr>
            </w:r>
            <w:r>
              <w:rPr>
                <w:sz w:val="18"/>
              </w:rPr>
              <w:t>Daily practice at home, any time</w:t>
            </w:r>
          </w:p>
        </w:tc>
      </w:tr>
      <w:tr>
        <w:tc>
          <w:tcPr>
            <w:tcW w:type="dxa" w:w="3061"/>
            <w:shd w:val="clear" w:color="auto" w:fill="E3F2EF"/>
          </w:tcPr>
          <w:p>
            <w:pPr>
              <w:spacing w:after="20"/>
            </w:pPr>
            <w:r>
              <w:rPr>
                <w:sz w:val="18"/>
              </w:rPr>
            </w:r>
            <w:r>
              <w:rPr>
                <w:b/>
                <w:sz w:val="18"/>
              </w:rPr>
              <w:t>SayBetter alone (proposed)</w:t>
            </w:r>
          </w:p>
        </w:tc>
        <w:tc>
          <w:tcPr>
            <w:tcW w:type="dxa" w:w="3175"/>
            <w:shd w:val="clear" w:color="auto" w:fill="E3F2EF"/>
          </w:tcPr>
          <w:p>
            <w:pPr>
              <w:spacing w:after="20"/>
            </w:pPr>
            <w:r>
              <w:rPr>
                <w:sz w:val="18"/>
              </w:rPr>
            </w:r>
            <w:r>
              <w:rPr>
                <w:b/>
                <w:sz w:val="18"/>
              </w:rPr>
              <w:t>₹999 per year</w:t>
            </w:r>
          </w:p>
        </w:tc>
        <w:tc>
          <w:tcPr>
            <w:tcW w:type="dxa" w:w="3175"/>
            <w:shd w:val="clear" w:color="auto" w:fill="E3F2EF"/>
          </w:tcPr>
          <w:p>
            <w:pPr>
              <w:spacing w:after="20"/>
            </w:pPr>
            <w:r>
              <w:rPr>
                <w:sz w:val="18"/>
              </w:rPr>
            </w:r>
            <w:r>
              <w:rPr>
                <w:b/>
                <w:sz w:val="18"/>
              </w:rPr>
              <w:t>For mild needs or where no therapist is reachable</w:t>
            </w:r>
          </w:p>
        </w:tc>
      </w:tr>
    </w:tbl>
    <w:p/>
    <w:p>
      <w:r>
        <w:rPr>
          <w:b w:val="0"/>
          <w:i w:val="0"/>
        </w:rPr>
        <w:t>Out-of-pocket spending is still 39.4% of India’s total health expenditure (2021-22) [16], and speech therapy is rarely insured — so the course cost above usually comes straight from the family budget. A hybrid model could cut a family’s cost by roughly 70–85% while increasing practice from 2 sessions a week to daily (to be validated in a pilot).</w:t>
      </w:r>
    </w:p>
    <w:p>
      <w:pPr>
        <w:pStyle w:val="Heading1"/>
      </w:pPr>
      <w:r>
        <w:t>4. Market size</w:t>
      </w:r>
    </w:p>
    <w:p>
      <w:pPr>
        <w:pStyle w:val="Heading2"/>
      </w:pPr>
      <w:r>
        <w:t>4.1 Top-down</w:t>
      </w:r>
    </w:p>
    <w:p>
      <w:pPr>
        <w:pStyle w:val="ListBullet"/>
      </w:pPr>
      <w:r>
        <w:rPr>
          <w:b/>
        </w:rPr>
        <w:t xml:space="preserve">India speech-therapy services: </w:t>
      </w:r>
      <w:r>
        <w:t>US$1,332.7 million (2023), projected US$2,558.7 million by 2030, 9.8% CAGR [12].</w:t>
      </w:r>
    </w:p>
    <w:p>
      <w:pPr>
        <w:pStyle w:val="ListBullet"/>
      </w:pPr>
      <w:r>
        <w:rPr>
          <w:b/>
        </w:rPr>
        <w:t xml:space="preserve">Global speech-therapy apps for kids: </w:t>
      </w:r>
      <w:r>
        <w:t>≈ US$2.8 bn (2025) → US$7.6 bn (2034), 11.7% CAGR; subscriptions already over 61% of app revenue (single commercial source, treat as directional) [19].</w:t>
      </w:r>
    </w:p>
    <w:p>
      <w:pPr>
        <w:pStyle w:val="Heading2"/>
      </w:pPr>
      <w:r>
        <w:t>4.2 Bottom-up: TAM, SAM, SOM (our estimates)</w:t>
      </w:r>
    </w:p>
    <w:tbl>
      <w:tblPr>
        <w:tblStyle w:val="TableGrid"/>
        <w:tblW w:type="auto" w:w="0"/>
        <w:jc w:val="center"/>
        <w:tblLook w:firstColumn="1" w:firstRow="1" w:lastColumn="0" w:lastRow="0" w:noHBand="0" w:noVBand="1" w:val="04A0"/>
      </w:tblPr>
      <w:tblGrid>
        <w:gridCol w:w="1882"/>
        <w:gridCol w:w="1882"/>
        <w:gridCol w:w="1882"/>
        <w:gridCol w:w="1882"/>
        <w:gridCol w:w="1882"/>
      </w:tblGrid>
      <w:tr>
        <w:trPr>
          <w:tblHeader w:val="true"/>
        </w:trPr>
        <w:tc>
          <w:tcPr>
            <w:tcW w:type="dxa" w:w="1077"/>
            <w:shd w:val="clear" w:color="auto" w:fill="0F766E"/>
          </w:tcPr>
          <w:p>
            <w:pPr>
              <w:keepNext/>
              <w:spacing w:after="20"/>
            </w:pPr>
            <w:r>
              <w:rPr>
                <w:sz w:val="17"/>
              </w:rPr>
            </w:r>
            <w:r>
              <w:rPr>
                <w:b/>
                <w:color w:val="FFFFFF"/>
                <w:sz w:val="17"/>
              </w:rPr>
              <w:t>Level</w:t>
            </w:r>
          </w:p>
        </w:tc>
        <w:tc>
          <w:tcPr>
            <w:tcW w:type="dxa" w:w="2551"/>
            <w:shd w:val="clear" w:color="auto" w:fill="0F766E"/>
          </w:tcPr>
          <w:p>
            <w:pPr>
              <w:keepNext/>
              <w:spacing w:after="20"/>
            </w:pPr>
            <w:r>
              <w:rPr>
                <w:sz w:val="17"/>
              </w:rPr>
            </w:r>
            <w:r>
              <w:rPr>
                <w:b/>
                <w:color w:val="FFFFFF"/>
                <w:sz w:val="17"/>
              </w:rPr>
              <w:t>Who</w:t>
            </w:r>
          </w:p>
        </w:tc>
        <w:tc>
          <w:tcPr>
            <w:tcW w:type="dxa" w:w="2608"/>
            <w:shd w:val="clear" w:color="auto" w:fill="0F766E"/>
          </w:tcPr>
          <w:p>
            <w:pPr>
              <w:keepNext/>
              <w:spacing w:after="20"/>
            </w:pPr>
            <w:r>
              <w:rPr>
                <w:sz w:val="17"/>
              </w:rPr>
            </w:r>
            <w:r>
              <w:rPr>
                <w:b/>
                <w:color w:val="FFFFFF"/>
                <w:sz w:val="17"/>
              </w:rPr>
              <w:t>Calculation</w:t>
            </w:r>
          </w:p>
        </w:tc>
        <w:tc>
          <w:tcPr>
            <w:tcW w:type="dxa" w:w="1361"/>
            <w:shd w:val="clear" w:color="auto" w:fill="0F766E"/>
          </w:tcPr>
          <w:p>
            <w:pPr>
              <w:keepNext/>
              <w:spacing w:after="20"/>
            </w:pPr>
            <w:r>
              <w:rPr>
                <w:sz w:val="17"/>
              </w:rPr>
            </w:r>
            <w:r>
              <w:rPr>
                <w:b/>
                <w:color w:val="FFFFFF"/>
                <w:sz w:val="17"/>
              </w:rPr>
              <w:t>People</w:t>
            </w:r>
          </w:p>
        </w:tc>
        <w:tc>
          <w:tcPr>
            <w:tcW w:type="dxa" w:w="1814"/>
            <w:shd w:val="clear" w:color="auto" w:fill="0F766E"/>
          </w:tcPr>
          <w:p>
            <w:pPr>
              <w:keepNext/>
              <w:spacing w:after="20"/>
            </w:pPr>
            <w:r>
              <w:rPr>
                <w:sz w:val="17"/>
              </w:rPr>
            </w:r>
            <w:r>
              <w:rPr>
                <w:b/>
                <w:color w:val="FFFFFF"/>
                <w:sz w:val="17"/>
              </w:rPr>
              <w:t>Value at ₹999/yr</w:t>
            </w:r>
          </w:p>
        </w:tc>
      </w:tr>
      <w:tr>
        <w:tc>
          <w:tcPr>
            <w:tcW w:type="dxa" w:w="1077"/>
          </w:tcPr>
          <w:p>
            <w:pPr>
              <w:spacing w:after="20"/>
            </w:pPr>
            <w:r>
              <w:rPr>
                <w:sz w:val="17"/>
              </w:rPr>
            </w:r>
            <w:r>
              <w:rPr>
                <w:sz w:val="17"/>
              </w:rPr>
              <w:t>TAM</w:t>
            </w:r>
          </w:p>
        </w:tc>
        <w:tc>
          <w:tcPr>
            <w:tcW w:type="dxa" w:w="2551"/>
          </w:tcPr>
          <w:p>
            <w:pPr>
              <w:spacing w:after="20"/>
            </w:pPr>
            <w:r>
              <w:rPr>
                <w:sz w:val="17"/>
              </w:rPr>
            </w:r>
            <w:r>
              <w:rPr>
                <w:sz w:val="17"/>
              </w:rPr>
              <w:t>All Indians with a communication disorder</w:t>
            </w:r>
          </w:p>
        </w:tc>
        <w:tc>
          <w:tcPr>
            <w:tcW w:type="dxa" w:w="2608"/>
          </w:tcPr>
          <w:p>
            <w:pPr>
              <w:spacing w:after="20"/>
            </w:pPr>
            <w:r>
              <w:rPr>
                <w:sz w:val="17"/>
              </w:rPr>
            </w:r>
            <w:r>
              <w:rPr>
                <w:sz w:val="17"/>
              </w:rPr>
              <w:t>144 crore × 4%</w:t>
            </w:r>
          </w:p>
        </w:tc>
        <w:tc>
          <w:tcPr>
            <w:tcW w:type="dxa" w:w="1361"/>
          </w:tcPr>
          <w:p>
            <w:pPr>
              <w:spacing w:after="20"/>
            </w:pPr>
            <w:r>
              <w:rPr>
                <w:sz w:val="17"/>
              </w:rPr>
            </w:r>
            <w:r>
              <w:rPr>
                <w:sz w:val="17"/>
              </w:rPr>
              <w:t>≈ 5.8 crore</w:t>
            </w:r>
          </w:p>
        </w:tc>
        <w:tc>
          <w:tcPr>
            <w:tcW w:type="dxa" w:w="1814"/>
          </w:tcPr>
          <w:p>
            <w:pPr>
              <w:spacing w:after="20"/>
            </w:pPr>
            <w:r>
              <w:rPr>
                <w:sz w:val="17"/>
              </w:rPr>
            </w:r>
            <w:r>
              <w:rPr>
                <w:sz w:val="17"/>
              </w:rPr>
              <w:t>≈ ₹5,750 crore (≈ US$680 m)</w:t>
            </w:r>
          </w:p>
        </w:tc>
      </w:tr>
      <w:tr>
        <w:tc>
          <w:tcPr>
            <w:tcW w:type="dxa" w:w="1077"/>
            <w:shd w:val="clear" w:color="auto" w:fill="F3F0EB"/>
          </w:tcPr>
          <w:p>
            <w:pPr>
              <w:spacing w:after="20"/>
            </w:pPr>
            <w:r>
              <w:rPr>
                <w:sz w:val="17"/>
              </w:rPr>
            </w:r>
            <w:r>
              <w:rPr>
                <w:sz w:val="17"/>
              </w:rPr>
              <w:t>SAM</w:t>
            </w:r>
          </w:p>
        </w:tc>
        <w:tc>
          <w:tcPr>
            <w:tcW w:type="dxa" w:w="2551"/>
            <w:shd w:val="clear" w:color="auto" w:fill="F3F0EB"/>
          </w:tcPr>
          <w:p>
            <w:pPr>
              <w:spacing w:after="20"/>
            </w:pPr>
            <w:r>
              <w:rPr>
                <w:sz w:val="17"/>
              </w:rPr>
            </w:r>
            <w:r>
              <w:rPr>
                <w:sz w:val="17"/>
              </w:rPr>
              <w:t>Children (0–14) with a speech disorder, Hindi/Tamil-speaking, online</w:t>
            </w:r>
          </w:p>
        </w:tc>
        <w:tc>
          <w:tcPr>
            <w:tcW w:type="dxa" w:w="2608"/>
            <w:shd w:val="clear" w:color="auto" w:fill="F3F0EB"/>
          </w:tcPr>
          <w:p>
            <w:pPr>
              <w:spacing w:after="20"/>
            </w:pPr>
            <w:r>
              <w:rPr>
                <w:sz w:val="17"/>
              </w:rPr>
            </w:r>
            <w:r>
              <w:rPr>
                <w:sz w:val="17"/>
              </w:rPr>
              <w:t>34.6 crore × 3.8% × 49.3% × 61.5% internet reach</w:t>
            </w:r>
          </w:p>
        </w:tc>
        <w:tc>
          <w:tcPr>
            <w:tcW w:type="dxa" w:w="1361"/>
            <w:shd w:val="clear" w:color="auto" w:fill="F3F0EB"/>
          </w:tcPr>
          <w:p>
            <w:pPr>
              <w:spacing w:after="20"/>
            </w:pPr>
            <w:r>
              <w:rPr>
                <w:sz w:val="17"/>
              </w:rPr>
            </w:r>
            <w:r>
              <w:rPr>
                <w:sz w:val="17"/>
              </w:rPr>
              <w:t>≈ 40 lakh</w:t>
            </w:r>
          </w:p>
        </w:tc>
        <w:tc>
          <w:tcPr>
            <w:tcW w:type="dxa" w:w="1814"/>
            <w:shd w:val="clear" w:color="auto" w:fill="F3F0EB"/>
          </w:tcPr>
          <w:p>
            <w:pPr>
              <w:spacing w:after="20"/>
            </w:pPr>
            <w:r>
              <w:rPr>
                <w:sz w:val="17"/>
              </w:rPr>
            </w:r>
            <w:r>
              <w:rPr>
                <w:sz w:val="17"/>
              </w:rPr>
              <w:t>≈ ₹400 crore (≈ US$47 m)</w:t>
            </w:r>
          </w:p>
        </w:tc>
      </w:tr>
      <w:tr>
        <w:tc>
          <w:tcPr>
            <w:tcW w:type="dxa" w:w="1077"/>
          </w:tcPr>
          <w:p>
            <w:pPr>
              <w:spacing w:after="20"/>
            </w:pPr>
            <w:r>
              <w:rPr>
                <w:sz w:val="17"/>
              </w:rPr>
            </w:r>
            <w:r>
              <w:rPr>
                <w:sz w:val="17"/>
              </w:rPr>
              <w:t>SOM (year 3)</w:t>
            </w:r>
          </w:p>
        </w:tc>
        <w:tc>
          <w:tcPr>
            <w:tcW w:type="dxa" w:w="2551"/>
          </w:tcPr>
          <w:p>
            <w:pPr>
              <w:spacing w:after="20"/>
            </w:pPr>
            <w:r>
              <w:rPr>
                <w:sz w:val="17"/>
              </w:rPr>
            </w:r>
            <w:r>
              <w:rPr>
                <w:sz w:val="17"/>
              </w:rPr>
              <w:t>1% of SAM as paying families + institutional seats</w:t>
            </w:r>
          </w:p>
        </w:tc>
        <w:tc>
          <w:tcPr>
            <w:tcW w:type="dxa" w:w="2608"/>
          </w:tcPr>
          <w:p>
            <w:pPr>
              <w:spacing w:after="20"/>
            </w:pPr>
            <w:r>
              <w:rPr>
                <w:sz w:val="17"/>
              </w:rPr>
            </w:r>
            <w:r>
              <w:rPr>
                <w:sz w:val="17"/>
              </w:rPr>
              <w:t>40 lakh × 1%</w:t>
            </w:r>
          </w:p>
        </w:tc>
        <w:tc>
          <w:tcPr>
            <w:tcW w:type="dxa" w:w="1361"/>
          </w:tcPr>
          <w:p>
            <w:pPr>
              <w:spacing w:after="20"/>
            </w:pPr>
            <w:r>
              <w:rPr>
                <w:sz w:val="17"/>
              </w:rPr>
            </w:r>
            <w:r>
              <w:rPr>
                <w:sz w:val="17"/>
              </w:rPr>
              <w:t>≈ 40,000</w:t>
            </w:r>
          </w:p>
        </w:tc>
        <w:tc>
          <w:tcPr>
            <w:tcW w:type="dxa" w:w="1814"/>
          </w:tcPr>
          <w:p>
            <w:pPr>
              <w:spacing w:after="20"/>
            </w:pPr>
            <w:r>
              <w:rPr>
                <w:sz w:val="17"/>
              </w:rPr>
            </w:r>
            <w:r>
              <w:rPr>
                <w:sz w:val="17"/>
              </w:rPr>
              <w:t>≈ ₹4 crore ARR</w:t>
            </w:r>
          </w:p>
        </w:tc>
      </w:tr>
    </w:tbl>
    <w:p/>
    <w:p>
      <w:r>
        <w:rPr>
          <w:b w:val="0"/>
          <w:i w:val="0"/>
          <w:sz w:val="20"/>
        </w:rPr>
        <w:t>Internet reach: 886 million active internet users in 2024 (55% rural), and 98% of users access content in Indic languages [20]. Expansion beyond the SAM — adults who stutter (≈ 1.4 crore), post-stroke aphasia (≈ 3–8 lakh new cases a year), other Indian languages, and English pronunciation — is upside not counted here.</w:t>
      </w:r>
    </w:p>
    <w:p>
      <w:pPr>
        <w:pStyle w:val="Heading1"/>
      </w:pPr>
      <w:r>
        <w:t>5. Target customers</w:t>
      </w:r>
    </w:p>
    <w:tbl>
      <w:tblPr>
        <w:tblStyle w:val="TableGrid"/>
        <w:tblW w:type="auto" w:w="0"/>
        <w:jc w:val="center"/>
        <w:tblLook w:firstColumn="1" w:firstRow="1" w:lastColumn="0" w:lastRow="0" w:noHBand="0" w:noVBand="1" w:val="04A0"/>
      </w:tblPr>
      <w:tblGrid>
        <w:gridCol w:w="2353"/>
        <w:gridCol w:w="2353"/>
        <w:gridCol w:w="2353"/>
        <w:gridCol w:w="2353"/>
      </w:tblGrid>
      <w:tr>
        <w:trPr>
          <w:tblHeader w:val="true"/>
        </w:trPr>
        <w:tc>
          <w:tcPr>
            <w:tcW w:type="dxa" w:w="2041"/>
            <w:shd w:val="clear" w:color="auto" w:fill="0F766E"/>
          </w:tcPr>
          <w:p>
            <w:pPr>
              <w:keepNext/>
              <w:spacing w:after="20"/>
            </w:pPr>
            <w:r>
              <w:rPr>
                <w:sz w:val="18"/>
              </w:rPr>
            </w:r>
            <w:r>
              <w:rPr>
                <w:b/>
                <w:color w:val="FFFFFF"/>
                <w:sz w:val="18"/>
              </w:rPr>
              <w:t>Persona</w:t>
            </w:r>
          </w:p>
        </w:tc>
        <w:tc>
          <w:tcPr>
            <w:tcW w:type="dxa" w:w="2835"/>
            <w:shd w:val="clear" w:color="auto" w:fill="0F766E"/>
          </w:tcPr>
          <w:p>
            <w:pPr>
              <w:keepNext/>
              <w:spacing w:after="20"/>
            </w:pPr>
            <w:r>
              <w:rPr>
                <w:sz w:val="18"/>
              </w:rPr>
            </w:r>
            <w:r>
              <w:rPr>
                <w:b/>
                <w:color w:val="FFFFFF"/>
                <w:sz w:val="18"/>
              </w:rPr>
              <w:t>Situation</w:t>
            </w:r>
          </w:p>
        </w:tc>
        <w:tc>
          <w:tcPr>
            <w:tcW w:type="dxa" w:w="2494"/>
            <w:shd w:val="clear" w:color="auto" w:fill="0F766E"/>
          </w:tcPr>
          <w:p>
            <w:pPr>
              <w:keepNext/>
              <w:spacing w:after="20"/>
            </w:pPr>
            <w:r>
              <w:rPr>
                <w:sz w:val="18"/>
              </w:rPr>
            </w:r>
            <w:r>
              <w:rPr>
                <w:b/>
                <w:color w:val="FFFFFF"/>
                <w:sz w:val="18"/>
              </w:rPr>
              <w:t>Need</w:t>
            </w:r>
          </w:p>
        </w:tc>
        <w:tc>
          <w:tcPr>
            <w:tcW w:type="dxa" w:w="2041"/>
            <w:shd w:val="clear" w:color="auto" w:fill="0F766E"/>
          </w:tcPr>
          <w:p>
            <w:pPr>
              <w:keepNext/>
              <w:spacing w:after="20"/>
            </w:pPr>
            <w:r>
              <w:rPr>
                <w:sz w:val="18"/>
              </w:rPr>
            </w:r>
            <w:r>
              <w:rPr>
                <w:b/>
                <w:color w:val="FFFFFF"/>
                <w:sz w:val="18"/>
              </w:rPr>
              <w:t>Who pays</w:t>
            </w:r>
          </w:p>
        </w:tc>
      </w:tr>
      <w:tr>
        <w:tc>
          <w:tcPr>
            <w:tcW w:type="dxa" w:w="2041"/>
          </w:tcPr>
          <w:p>
            <w:pPr>
              <w:spacing w:after="20"/>
            </w:pPr>
            <w:r>
              <w:rPr>
                <w:sz w:val="18"/>
              </w:rPr>
            </w:r>
            <w:r>
              <w:rPr>
                <w:sz w:val="18"/>
              </w:rPr>
              <w:t>Parent in a Tier-2/3 town (primary)</w:t>
            </w:r>
          </w:p>
        </w:tc>
        <w:tc>
          <w:tcPr>
            <w:tcW w:type="dxa" w:w="2835"/>
          </w:tcPr>
          <w:p>
            <w:pPr>
              <w:spacing w:after="20"/>
            </w:pPr>
            <w:r>
              <w:rPr>
                <w:sz w:val="18"/>
              </w:rPr>
            </w:r>
            <w:r>
              <w:rPr>
                <w:sz w:val="18"/>
              </w:rPr>
              <w:t>Child aged 5–10 says ல for ழ or ர; nearest therapist is hours away or ₹1,500/session</w:t>
            </w:r>
          </w:p>
        </w:tc>
        <w:tc>
          <w:tcPr>
            <w:tcW w:type="dxa" w:w="2494"/>
          </w:tcPr>
          <w:p>
            <w:pPr>
              <w:spacing w:after="20"/>
            </w:pPr>
            <w:r>
              <w:rPr>
                <w:sz w:val="18"/>
              </w:rPr>
            </w:r>
            <w:r>
              <w:rPr>
                <w:sz w:val="18"/>
              </w:rPr>
              <w:t>Affordable daily practice, knowing whether the child is improving</w:t>
            </w:r>
          </w:p>
        </w:tc>
        <w:tc>
          <w:tcPr>
            <w:tcW w:type="dxa" w:w="2041"/>
          </w:tcPr>
          <w:p>
            <w:pPr>
              <w:spacing w:after="20"/>
            </w:pPr>
            <w:r>
              <w:rPr>
                <w:sz w:val="18"/>
              </w:rPr>
            </w:r>
            <w:r>
              <w:rPr>
                <w:sz w:val="18"/>
              </w:rPr>
              <w:t>Family (₹999/yr) or school/CSR seat</w:t>
            </w:r>
          </w:p>
        </w:tc>
      </w:tr>
      <w:tr>
        <w:tc>
          <w:tcPr>
            <w:tcW w:type="dxa" w:w="2041"/>
            <w:shd w:val="clear" w:color="auto" w:fill="F3F0EB"/>
          </w:tcPr>
          <w:p>
            <w:pPr>
              <w:spacing w:after="20"/>
            </w:pPr>
            <w:r>
              <w:rPr>
                <w:sz w:val="18"/>
              </w:rPr>
            </w:r>
            <w:r>
              <w:rPr>
                <w:sz w:val="18"/>
              </w:rPr>
              <w:t>Speech therapist in a city clinic</w:t>
            </w:r>
          </w:p>
        </w:tc>
        <w:tc>
          <w:tcPr>
            <w:tcW w:type="dxa" w:w="2835"/>
            <w:shd w:val="clear" w:color="auto" w:fill="F3F0EB"/>
          </w:tcPr>
          <w:p>
            <w:pPr>
              <w:spacing w:after="20"/>
            </w:pPr>
            <w:r>
              <w:rPr>
                <w:sz w:val="18"/>
              </w:rPr>
            </w:r>
            <w:r>
              <w:rPr>
                <w:sz w:val="18"/>
              </w:rPr>
              <w:t>Sees 30–40 clients a week; home practice is rarely done or checked</w:t>
            </w:r>
          </w:p>
        </w:tc>
        <w:tc>
          <w:tcPr>
            <w:tcW w:type="dxa" w:w="2494"/>
            <w:shd w:val="clear" w:color="auto" w:fill="F3F0EB"/>
          </w:tcPr>
          <w:p>
            <w:pPr>
              <w:spacing w:after="20"/>
            </w:pPr>
            <w:r>
              <w:rPr>
                <w:sz w:val="18"/>
              </w:rPr>
            </w:r>
            <w:r>
              <w:rPr>
                <w:sz w:val="18"/>
              </w:rPr>
              <w:t>Assign targets, see practice data, keep clients motivated</w:t>
            </w:r>
          </w:p>
        </w:tc>
        <w:tc>
          <w:tcPr>
            <w:tcW w:type="dxa" w:w="2041"/>
            <w:shd w:val="clear" w:color="auto" w:fill="F3F0EB"/>
          </w:tcPr>
          <w:p>
            <w:pPr>
              <w:spacing w:after="20"/>
            </w:pPr>
            <w:r>
              <w:rPr>
                <w:sz w:val="18"/>
              </w:rPr>
            </w:r>
            <w:r>
              <w:rPr>
                <w:sz w:val="18"/>
              </w:rPr>
              <w:t>Clinic licence</w:t>
            </w:r>
          </w:p>
        </w:tc>
      </w:tr>
      <w:tr>
        <w:tc>
          <w:tcPr>
            <w:tcW w:type="dxa" w:w="2041"/>
          </w:tcPr>
          <w:p>
            <w:pPr>
              <w:spacing w:after="20"/>
            </w:pPr>
            <w:r>
              <w:rPr>
                <w:sz w:val="18"/>
              </w:rPr>
            </w:r>
            <w:r>
              <w:rPr>
                <w:sz w:val="18"/>
              </w:rPr>
              <w:t>Government early-intervention therapist (DEIC/DDRC)</w:t>
            </w:r>
          </w:p>
        </w:tc>
        <w:tc>
          <w:tcPr>
            <w:tcW w:type="dxa" w:w="2835"/>
          </w:tcPr>
          <w:p>
            <w:pPr>
              <w:spacing w:after="20"/>
            </w:pPr>
            <w:r>
              <w:rPr>
                <w:sz w:val="18"/>
              </w:rPr>
            </w:r>
            <w:r>
              <w:rPr>
                <w:sz w:val="18"/>
              </w:rPr>
              <w:t>Large caseload; families travel long distances</w:t>
            </w:r>
          </w:p>
        </w:tc>
        <w:tc>
          <w:tcPr>
            <w:tcW w:type="dxa" w:w="2494"/>
          </w:tcPr>
          <w:p>
            <w:pPr>
              <w:spacing w:after="20"/>
            </w:pPr>
            <w:r>
              <w:rPr>
                <w:sz w:val="18"/>
              </w:rPr>
            </w:r>
            <w:r>
              <w:rPr>
                <w:sz w:val="18"/>
              </w:rPr>
              <w:t>A tool families can use between visits</w:t>
            </w:r>
          </w:p>
        </w:tc>
        <w:tc>
          <w:tcPr>
            <w:tcW w:type="dxa" w:w="2041"/>
          </w:tcPr>
          <w:p>
            <w:pPr>
              <w:spacing w:after="20"/>
            </w:pPr>
            <w:r>
              <w:rPr>
                <w:sz w:val="18"/>
              </w:rPr>
            </w:r>
            <w:r>
              <w:rPr>
                <w:sz w:val="18"/>
              </w:rPr>
              <w:t>Government / NHM</w:t>
            </w:r>
          </w:p>
        </w:tc>
      </w:tr>
      <w:tr>
        <w:tc>
          <w:tcPr>
            <w:tcW w:type="dxa" w:w="2041"/>
            <w:shd w:val="clear" w:color="auto" w:fill="F3F0EB"/>
          </w:tcPr>
          <w:p>
            <w:pPr>
              <w:spacing w:after="20"/>
            </w:pPr>
            <w:r>
              <w:rPr>
                <w:sz w:val="18"/>
              </w:rPr>
            </w:r>
            <w:r>
              <w:rPr>
                <w:sz w:val="18"/>
              </w:rPr>
              <w:t>Adult learner</w:t>
            </w:r>
          </w:p>
        </w:tc>
        <w:tc>
          <w:tcPr>
            <w:tcW w:type="dxa" w:w="2835"/>
            <w:shd w:val="clear" w:color="auto" w:fill="F3F0EB"/>
          </w:tcPr>
          <w:p>
            <w:pPr>
              <w:spacing w:after="20"/>
            </w:pPr>
            <w:r>
              <w:rPr>
                <w:sz w:val="18"/>
              </w:rPr>
            </w:r>
            <w:r>
              <w:rPr>
                <w:sz w:val="18"/>
              </w:rPr>
              <w:t>Wants clearer speech for work or after stroke rehabilitation</w:t>
            </w:r>
          </w:p>
        </w:tc>
        <w:tc>
          <w:tcPr>
            <w:tcW w:type="dxa" w:w="2494"/>
            <w:shd w:val="clear" w:color="auto" w:fill="F3F0EB"/>
          </w:tcPr>
          <w:p>
            <w:pPr>
              <w:spacing w:after="20"/>
            </w:pPr>
            <w:r>
              <w:rPr>
                <w:sz w:val="18"/>
              </w:rPr>
            </w:r>
            <w:r>
              <w:rPr>
                <w:sz w:val="18"/>
              </w:rPr>
              <w:t>Private, judgement-free practice</w:t>
            </w:r>
          </w:p>
        </w:tc>
        <w:tc>
          <w:tcPr>
            <w:tcW w:type="dxa" w:w="2041"/>
            <w:shd w:val="clear" w:color="auto" w:fill="F3F0EB"/>
          </w:tcPr>
          <w:p>
            <w:pPr>
              <w:spacing w:after="20"/>
            </w:pPr>
            <w:r>
              <w:rPr>
                <w:sz w:val="18"/>
              </w:rPr>
            </w:r>
            <w:r>
              <w:rPr>
                <w:sz w:val="18"/>
              </w:rPr>
              <w:t>Self</w:t>
            </w:r>
          </w:p>
        </w:tc>
      </w:tr>
    </w:tbl>
    <w:p/>
    <w:p>
      <w:pPr>
        <w:pStyle w:val="Heading1"/>
      </w:pPr>
      <w:r>
        <w:t>6. Competitive landscape and positioning</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rPr>
          <w:tblHeader w:val="true"/>
        </w:trPr>
        <w:tc>
          <w:tcPr>
            <w:tcW w:type="dxa" w:w="1814"/>
            <w:shd w:val="clear" w:color="auto" w:fill="0F766E"/>
          </w:tcPr>
          <w:p>
            <w:pPr>
              <w:keepNext/>
              <w:spacing w:after="20"/>
            </w:pPr>
            <w:r>
              <w:rPr>
                <w:sz w:val="16"/>
              </w:rPr>
            </w:r>
            <w:r>
              <w:rPr>
                <w:b/>
                <w:color w:val="FFFFFF"/>
                <w:sz w:val="16"/>
              </w:rPr>
              <w:t>Product / option</w:t>
            </w:r>
          </w:p>
        </w:tc>
        <w:tc>
          <w:tcPr>
            <w:tcW w:type="dxa" w:w="1191"/>
            <w:shd w:val="clear" w:color="auto" w:fill="0F766E"/>
          </w:tcPr>
          <w:p>
            <w:pPr>
              <w:keepNext/>
              <w:spacing w:after="20"/>
            </w:pPr>
            <w:r>
              <w:rPr>
                <w:sz w:val="16"/>
              </w:rPr>
            </w:r>
            <w:r>
              <w:rPr>
                <w:b/>
                <w:color w:val="FFFFFF"/>
                <w:sz w:val="16"/>
              </w:rPr>
              <w:t>Indian languages</w:t>
            </w:r>
          </w:p>
        </w:tc>
        <w:tc>
          <w:tcPr>
            <w:tcW w:type="dxa" w:w="1644"/>
            <w:shd w:val="clear" w:color="auto" w:fill="0F766E"/>
          </w:tcPr>
          <w:p>
            <w:pPr>
              <w:keepNext/>
              <w:spacing w:after="20"/>
            </w:pPr>
            <w:r>
              <w:rPr>
                <w:sz w:val="16"/>
              </w:rPr>
            </w:r>
            <w:r>
              <w:rPr>
                <w:b/>
                <w:color w:val="FFFFFF"/>
                <w:sz w:val="16"/>
              </w:rPr>
              <w:t>Sound-level AI feedback</w:t>
            </w:r>
          </w:p>
        </w:tc>
        <w:tc>
          <w:tcPr>
            <w:tcW w:type="dxa" w:w="1304"/>
            <w:shd w:val="clear" w:color="auto" w:fill="0F766E"/>
          </w:tcPr>
          <w:p>
            <w:pPr>
              <w:keepNext/>
              <w:spacing w:after="20"/>
            </w:pPr>
            <w:r>
              <w:rPr>
                <w:sz w:val="16"/>
              </w:rPr>
            </w:r>
            <w:r>
              <w:rPr>
                <w:b/>
                <w:color w:val="FFFFFF"/>
                <w:sz w:val="16"/>
              </w:rPr>
              <w:t>Shows mouth/tongue</w:t>
            </w:r>
          </w:p>
        </w:tc>
        <w:tc>
          <w:tcPr>
            <w:tcW w:type="dxa" w:w="1814"/>
            <w:shd w:val="clear" w:color="auto" w:fill="0F766E"/>
          </w:tcPr>
          <w:p>
            <w:pPr>
              <w:keepNext/>
              <w:spacing w:after="20"/>
            </w:pPr>
            <w:r>
              <w:rPr>
                <w:sz w:val="16"/>
              </w:rPr>
            </w:r>
            <w:r>
              <w:rPr>
                <w:b/>
                <w:color w:val="FFFFFF"/>
                <w:sz w:val="16"/>
              </w:rPr>
              <w:t>Price</w:t>
            </w:r>
          </w:p>
        </w:tc>
        <w:tc>
          <w:tcPr>
            <w:tcW w:type="dxa" w:w="1644"/>
            <w:shd w:val="clear" w:color="auto" w:fill="0F766E"/>
          </w:tcPr>
          <w:p>
            <w:pPr>
              <w:keepNext/>
              <w:spacing w:after="20"/>
            </w:pPr>
            <w:r>
              <w:rPr>
                <w:sz w:val="16"/>
              </w:rPr>
            </w:r>
            <w:r>
              <w:rPr>
                <w:b/>
                <w:color w:val="FFFFFF"/>
                <w:sz w:val="16"/>
              </w:rPr>
              <w:t>Gap</w:t>
            </w:r>
          </w:p>
        </w:tc>
      </w:tr>
      <w:tr>
        <w:tc>
          <w:tcPr>
            <w:tcW w:type="dxa" w:w="1814"/>
          </w:tcPr>
          <w:p>
            <w:pPr>
              <w:spacing w:after="20"/>
            </w:pPr>
            <w:r>
              <w:rPr>
                <w:sz w:val="16"/>
              </w:rPr>
            </w:r>
            <w:r>
              <w:rPr>
                <w:sz w:val="16"/>
              </w:rPr>
              <w:t>Clinic / online therapist</w:t>
            </w:r>
          </w:p>
        </w:tc>
        <w:tc>
          <w:tcPr>
            <w:tcW w:type="dxa" w:w="1191"/>
          </w:tcPr>
          <w:p>
            <w:pPr>
              <w:spacing w:after="20"/>
            </w:pPr>
            <w:r>
              <w:rPr>
                <w:sz w:val="16"/>
              </w:rPr>
            </w:r>
            <w:r>
              <w:rPr>
                <w:sz w:val="16"/>
              </w:rPr>
              <w:t>Yes (human)</w:t>
            </w:r>
          </w:p>
        </w:tc>
        <w:tc>
          <w:tcPr>
            <w:tcW w:type="dxa" w:w="1644"/>
          </w:tcPr>
          <w:p>
            <w:pPr>
              <w:spacing w:after="20"/>
            </w:pPr>
            <w:r>
              <w:rPr>
                <w:sz w:val="16"/>
              </w:rPr>
            </w:r>
            <w:r>
              <w:rPr>
                <w:sz w:val="16"/>
              </w:rPr>
              <w:t>Human</w:t>
            </w:r>
          </w:p>
        </w:tc>
        <w:tc>
          <w:tcPr>
            <w:tcW w:type="dxa" w:w="1304"/>
          </w:tcPr>
          <w:p>
            <w:pPr>
              <w:spacing w:after="20"/>
            </w:pPr>
            <w:r>
              <w:rPr>
                <w:sz w:val="16"/>
              </w:rPr>
            </w:r>
            <w:r>
              <w:rPr>
                <w:sz w:val="16"/>
              </w:rPr>
              <w:t>Human demo</w:t>
            </w:r>
          </w:p>
        </w:tc>
        <w:tc>
          <w:tcPr>
            <w:tcW w:type="dxa" w:w="1814"/>
          </w:tcPr>
          <w:p>
            <w:pPr>
              <w:spacing w:after="20"/>
            </w:pPr>
            <w:r>
              <w:rPr>
                <w:sz w:val="16"/>
              </w:rPr>
            </w:r>
            <w:r>
              <w:rPr>
                <w:sz w:val="16"/>
              </w:rPr>
              <w:t>₹600–2,500 per session</w:t>
            </w:r>
          </w:p>
        </w:tc>
        <w:tc>
          <w:tcPr>
            <w:tcW w:type="dxa" w:w="1644"/>
          </w:tcPr>
          <w:p>
            <w:pPr>
              <w:spacing w:after="20"/>
            </w:pPr>
            <w:r>
              <w:rPr>
                <w:sz w:val="16"/>
              </w:rPr>
            </w:r>
            <w:r>
              <w:rPr>
                <w:sz w:val="16"/>
              </w:rPr>
              <w:t>Cost, availability, 1–2 sessions a week</w:t>
            </w:r>
          </w:p>
        </w:tc>
      </w:tr>
      <w:tr>
        <w:tc>
          <w:tcPr>
            <w:tcW w:type="dxa" w:w="1814"/>
            <w:shd w:val="clear" w:color="auto" w:fill="F3F0EB"/>
          </w:tcPr>
          <w:p>
            <w:pPr>
              <w:spacing w:after="20"/>
            </w:pPr>
            <w:r>
              <w:rPr>
                <w:sz w:val="16"/>
              </w:rPr>
            </w:r>
            <w:r>
              <w:rPr>
                <w:sz w:val="16"/>
              </w:rPr>
              <w:t>Govt. DEIC / DDRC</w:t>
            </w:r>
          </w:p>
        </w:tc>
        <w:tc>
          <w:tcPr>
            <w:tcW w:type="dxa" w:w="1191"/>
            <w:shd w:val="clear" w:color="auto" w:fill="F3F0EB"/>
          </w:tcPr>
          <w:p>
            <w:pPr>
              <w:spacing w:after="20"/>
            </w:pPr>
            <w:r>
              <w:rPr>
                <w:sz w:val="16"/>
              </w:rPr>
            </w:r>
            <w:r>
              <w:rPr>
                <w:sz w:val="16"/>
              </w:rPr>
              <w:t>Yes (human)</w:t>
            </w:r>
          </w:p>
        </w:tc>
        <w:tc>
          <w:tcPr>
            <w:tcW w:type="dxa" w:w="1644"/>
            <w:shd w:val="clear" w:color="auto" w:fill="F3F0EB"/>
          </w:tcPr>
          <w:p>
            <w:pPr>
              <w:spacing w:after="20"/>
            </w:pPr>
            <w:r>
              <w:rPr>
                <w:sz w:val="16"/>
              </w:rPr>
            </w:r>
            <w:r>
              <w:rPr>
                <w:sz w:val="16"/>
              </w:rPr>
              <w:t>Human</w:t>
            </w:r>
          </w:p>
        </w:tc>
        <w:tc>
          <w:tcPr>
            <w:tcW w:type="dxa" w:w="1304"/>
            <w:shd w:val="clear" w:color="auto" w:fill="F3F0EB"/>
          </w:tcPr>
          <w:p>
            <w:pPr>
              <w:spacing w:after="20"/>
            </w:pPr>
            <w:r>
              <w:rPr>
                <w:sz w:val="16"/>
              </w:rPr>
            </w:r>
            <w:r>
              <w:rPr>
                <w:sz w:val="16"/>
              </w:rPr>
              <w:t>Human demo</w:t>
            </w:r>
          </w:p>
        </w:tc>
        <w:tc>
          <w:tcPr>
            <w:tcW w:type="dxa" w:w="1814"/>
            <w:shd w:val="clear" w:color="auto" w:fill="F3F0EB"/>
          </w:tcPr>
          <w:p>
            <w:pPr>
              <w:spacing w:after="20"/>
            </w:pPr>
            <w:r>
              <w:rPr>
                <w:sz w:val="16"/>
              </w:rPr>
            </w:r>
            <w:r>
              <w:rPr>
                <w:sz w:val="16"/>
              </w:rPr>
              <w:t>Free / low</w:t>
            </w:r>
          </w:p>
        </w:tc>
        <w:tc>
          <w:tcPr>
            <w:tcW w:type="dxa" w:w="1644"/>
            <w:shd w:val="clear" w:color="auto" w:fill="F3F0EB"/>
          </w:tcPr>
          <w:p>
            <w:pPr>
              <w:spacing w:after="20"/>
            </w:pPr>
            <w:r>
              <w:rPr>
                <w:sz w:val="16"/>
              </w:rPr>
            </w:r>
            <w:r>
              <w:rPr>
                <w:sz w:val="16"/>
              </w:rPr>
              <w:t>Few centres, travel, capacity</w:t>
            </w:r>
          </w:p>
        </w:tc>
      </w:tr>
      <w:tr>
        <w:tc>
          <w:tcPr>
            <w:tcW w:type="dxa" w:w="1814"/>
          </w:tcPr>
          <w:p>
            <w:pPr>
              <w:spacing w:after="20"/>
            </w:pPr>
            <w:r>
              <w:rPr>
                <w:sz w:val="16"/>
              </w:rPr>
            </w:r>
            <w:r>
              <w:rPr>
                <w:sz w:val="16"/>
              </w:rPr>
              <w:t>Stamurai (India)</w:t>
            </w:r>
          </w:p>
        </w:tc>
        <w:tc>
          <w:tcPr>
            <w:tcW w:type="dxa" w:w="1191"/>
          </w:tcPr>
          <w:p>
            <w:pPr>
              <w:spacing w:after="20"/>
            </w:pPr>
            <w:r>
              <w:rPr>
                <w:sz w:val="16"/>
              </w:rPr>
            </w:r>
            <w:r>
              <w:rPr>
                <w:sz w:val="16"/>
              </w:rPr>
              <w:t>Partly</w:t>
            </w:r>
          </w:p>
        </w:tc>
        <w:tc>
          <w:tcPr>
            <w:tcW w:type="dxa" w:w="1644"/>
          </w:tcPr>
          <w:p>
            <w:pPr>
              <w:spacing w:after="20"/>
            </w:pPr>
            <w:r>
              <w:rPr>
                <w:sz w:val="16"/>
              </w:rPr>
            </w:r>
            <w:r>
              <w:rPr>
                <w:sz w:val="16"/>
              </w:rPr>
              <w:t>Stuttering only</w:t>
            </w:r>
          </w:p>
        </w:tc>
        <w:tc>
          <w:tcPr>
            <w:tcW w:type="dxa" w:w="1304"/>
          </w:tcPr>
          <w:p>
            <w:pPr>
              <w:spacing w:after="20"/>
            </w:pPr>
            <w:r>
              <w:rPr>
                <w:sz w:val="16"/>
              </w:rPr>
            </w:r>
            <w:r>
              <w:rPr>
                <w:sz w:val="16"/>
              </w:rPr>
              <w:t>No</w:t>
            </w:r>
          </w:p>
        </w:tc>
        <w:tc>
          <w:tcPr>
            <w:tcW w:type="dxa" w:w="1814"/>
          </w:tcPr>
          <w:p>
            <w:pPr>
              <w:spacing w:after="20"/>
            </w:pPr>
            <w:r>
              <w:rPr>
                <w:sz w:val="16"/>
              </w:rPr>
            </w:r>
            <w:r>
              <w:rPr>
                <w:sz w:val="16"/>
              </w:rPr>
              <w:t>₹2,999/yr app; ₹6,000 for 8 therapist sessions</w:t>
            </w:r>
          </w:p>
        </w:tc>
        <w:tc>
          <w:tcPr>
            <w:tcW w:type="dxa" w:w="1644"/>
          </w:tcPr>
          <w:p>
            <w:pPr>
              <w:spacing w:after="20"/>
            </w:pPr>
            <w:r>
              <w:rPr>
                <w:sz w:val="16"/>
              </w:rPr>
            </w:r>
            <w:r>
              <w:rPr>
                <w:sz w:val="16"/>
              </w:rPr>
              <w:t>Not for speech sounds</w:t>
            </w:r>
          </w:p>
        </w:tc>
      </w:tr>
      <w:tr>
        <w:tc>
          <w:tcPr>
            <w:tcW w:type="dxa" w:w="1814"/>
            <w:shd w:val="clear" w:color="auto" w:fill="F3F0EB"/>
          </w:tcPr>
          <w:p>
            <w:pPr>
              <w:spacing w:after="20"/>
            </w:pPr>
            <w:r>
              <w:rPr>
                <w:sz w:val="16"/>
              </w:rPr>
            </w:r>
            <w:r>
              <w:rPr>
                <w:sz w:val="16"/>
              </w:rPr>
              <w:t>Speech Blubs</w:t>
            </w:r>
          </w:p>
        </w:tc>
        <w:tc>
          <w:tcPr>
            <w:tcW w:type="dxa" w:w="1191"/>
            <w:shd w:val="clear" w:color="auto" w:fill="F3F0EB"/>
          </w:tcPr>
          <w:p>
            <w:pPr>
              <w:spacing w:after="20"/>
            </w:pPr>
            <w:r>
              <w:rPr>
                <w:sz w:val="16"/>
              </w:rPr>
            </w:r>
            <w:r>
              <w:rPr>
                <w:sz w:val="16"/>
              </w:rPr>
              <w:t>English-first</w:t>
            </w:r>
          </w:p>
        </w:tc>
        <w:tc>
          <w:tcPr>
            <w:tcW w:type="dxa" w:w="1644"/>
            <w:shd w:val="clear" w:color="auto" w:fill="F3F0EB"/>
          </w:tcPr>
          <w:p>
            <w:pPr>
              <w:spacing w:after="20"/>
            </w:pPr>
            <w:r>
              <w:rPr>
                <w:sz w:val="16"/>
              </w:rPr>
            </w:r>
            <w:r>
              <w:rPr>
                <w:sz w:val="16"/>
              </w:rPr>
              <w:t>No (video modelling)</w:t>
            </w:r>
          </w:p>
        </w:tc>
        <w:tc>
          <w:tcPr>
            <w:tcW w:type="dxa" w:w="1304"/>
            <w:shd w:val="clear" w:color="auto" w:fill="F3F0EB"/>
          </w:tcPr>
          <w:p>
            <w:pPr>
              <w:spacing w:after="20"/>
            </w:pPr>
            <w:r>
              <w:rPr>
                <w:sz w:val="16"/>
              </w:rPr>
            </w:r>
            <w:r>
              <w:rPr>
                <w:sz w:val="16"/>
              </w:rPr>
              <w:t>Child videos</w:t>
            </w:r>
          </w:p>
        </w:tc>
        <w:tc>
          <w:tcPr>
            <w:tcW w:type="dxa" w:w="1814"/>
            <w:shd w:val="clear" w:color="auto" w:fill="F3F0EB"/>
          </w:tcPr>
          <w:p>
            <w:pPr>
              <w:spacing w:after="20"/>
            </w:pPr>
            <w:r>
              <w:rPr>
                <w:sz w:val="16"/>
              </w:rPr>
            </w:r>
            <w:r>
              <w:rPr>
                <w:sz w:val="16"/>
              </w:rPr>
              <w:t>≈ US$60/yr</w:t>
            </w:r>
          </w:p>
        </w:tc>
        <w:tc>
          <w:tcPr>
            <w:tcW w:type="dxa" w:w="1644"/>
            <w:shd w:val="clear" w:color="auto" w:fill="F3F0EB"/>
          </w:tcPr>
          <w:p>
            <w:pPr>
              <w:spacing w:after="20"/>
            </w:pPr>
            <w:r>
              <w:rPr>
                <w:sz w:val="16"/>
              </w:rPr>
            </w:r>
            <w:r>
              <w:rPr>
                <w:sz w:val="16"/>
              </w:rPr>
              <w:t>No Indian sounds</w:t>
            </w:r>
          </w:p>
        </w:tc>
      </w:tr>
      <w:tr>
        <w:tc>
          <w:tcPr>
            <w:tcW w:type="dxa" w:w="1814"/>
          </w:tcPr>
          <w:p>
            <w:pPr>
              <w:spacing w:after="20"/>
            </w:pPr>
            <w:r>
              <w:rPr>
                <w:sz w:val="16"/>
              </w:rPr>
            </w:r>
            <w:r>
              <w:rPr>
                <w:sz w:val="16"/>
              </w:rPr>
              <w:t>Articulation Station</w:t>
            </w:r>
          </w:p>
        </w:tc>
        <w:tc>
          <w:tcPr>
            <w:tcW w:type="dxa" w:w="1191"/>
          </w:tcPr>
          <w:p>
            <w:pPr>
              <w:spacing w:after="20"/>
            </w:pPr>
            <w:r>
              <w:rPr>
                <w:sz w:val="16"/>
              </w:rPr>
            </w:r>
            <w:r>
              <w:rPr>
                <w:sz w:val="16"/>
              </w:rPr>
              <w:t>English</w:t>
            </w:r>
          </w:p>
        </w:tc>
        <w:tc>
          <w:tcPr>
            <w:tcW w:type="dxa" w:w="1644"/>
          </w:tcPr>
          <w:p>
            <w:pPr>
              <w:spacing w:after="20"/>
            </w:pPr>
            <w:r>
              <w:rPr>
                <w:sz w:val="16"/>
              </w:rPr>
            </w:r>
            <w:r>
              <w:rPr>
                <w:sz w:val="16"/>
              </w:rPr>
              <w:t>No</w:t>
            </w:r>
          </w:p>
        </w:tc>
        <w:tc>
          <w:tcPr>
            <w:tcW w:type="dxa" w:w="1304"/>
          </w:tcPr>
          <w:p>
            <w:pPr>
              <w:spacing w:after="20"/>
            </w:pPr>
            <w:r>
              <w:rPr>
                <w:sz w:val="16"/>
              </w:rPr>
            </w:r>
            <w:r>
              <w:rPr>
                <w:sz w:val="16"/>
              </w:rPr>
              <w:t>No</w:t>
            </w:r>
          </w:p>
        </w:tc>
        <w:tc>
          <w:tcPr>
            <w:tcW w:type="dxa" w:w="1814"/>
          </w:tcPr>
          <w:p>
            <w:pPr>
              <w:spacing w:after="20"/>
            </w:pPr>
            <w:r>
              <w:rPr>
                <w:sz w:val="16"/>
              </w:rPr>
            </w:r>
            <w:r>
              <w:rPr>
                <w:sz w:val="16"/>
              </w:rPr>
              <w:t>≈ US$7–15/month</w:t>
            </w:r>
          </w:p>
        </w:tc>
        <w:tc>
          <w:tcPr>
            <w:tcW w:type="dxa" w:w="1644"/>
          </w:tcPr>
          <w:p>
            <w:pPr>
              <w:spacing w:after="20"/>
            </w:pPr>
            <w:r>
              <w:rPr>
                <w:sz w:val="16"/>
              </w:rPr>
            </w:r>
            <w:r>
              <w:rPr>
                <w:sz w:val="16"/>
              </w:rPr>
              <w:t>Therapist tool, English only</w:t>
            </w:r>
          </w:p>
        </w:tc>
      </w:tr>
      <w:tr>
        <w:tc>
          <w:tcPr>
            <w:tcW w:type="dxa" w:w="1814"/>
            <w:shd w:val="clear" w:color="auto" w:fill="F3F0EB"/>
          </w:tcPr>
          <w:p>
            <w:pPr>
              <w:spacing w:after="20"/>
            </w:pPr>
            <w:r>
              <w:rPr>
                <w:sz w:val="16"/>
              </w:rPr>
            </w:r>
            <w:r>
              <w:rPr>
                <w:sz w:val="16"/>
              </w:rPr>
              <w:t>Speech Sounds Visualized</w:t>
            </w:r>
          </w:p>
        </w:tc>
        <w:tc>
          <w:tcPr>
            <w:tcW w:type="dxa" w:w="1191"/>
            <w:shd w:val="clear" w:color="auto" w:fill="F3F0EB"/>
          </w:tcPr>
          <w:p>
            <w:pPr>
              <w:spacing w:after="20"/>
            </w:pPr>
            <w:r>
              <w:rPr>
                <w:sz w:val="16"/>
              </w:rPr>
            </w:r>
            <w:r>
              <w:rPr>
                <w:sz w:val="16"/>
              </w:rPr>
              <w:t>English</w:t>
            </w:r>
          </w:p>
        </w:tc>
        <w:tc>
          <w:tcPr>
            <w:tcW w:type="dxa" w:w="1644"/>
            <w:shd w:val="clear" w:color="auto" w:fill="F3F0EB"/>
          </w:tcPr>
          <w:p>
            <w:pPr>
              <w:spacing w:after="20"/>
            </w:pPr>
            <w:r>
              <w:rPr>
                <w:sz w:val="16"/>
              </w:rPr>
            </w:r>
            <w:r>
              <w:rPr>
                <w:sz w:val="16"/>
              </w:rPr>
              <w:t>No</w:t>
            </w:r>
          </w:p>
        </w:tc>
        <w:tc>
          <w:tcPr>
            <w:tcW w:type="dxa" w:w="1304"/>
            <w:shd w:val="clear" w:color="auto" w:fill="F3F0EB"/>
          </w:tcPr>
          <w:p>
            <w:pPr>
              <w:spacing w:after="20"/>
            </w:pPr>
            <w:r>
              <w:rPr>
                <w:sz w:val="16"/>
              </w:rPr>
            </w:r>
            <w:r>
              <w:rPr>
                <w:sz w:val="16"/>
              </w:rPr>
              <w:t>X-ray + 3D</w:t>
            </w:r>
          </w:p>
        </w:tc>
        <w:tc>
          <w:tcPr>
            <w:tcW w:type="dxa" w:w="1814"/>
            <w:shd w:val="clear" w:color="auto" w:fill="F3F0EB"/>
          </w:tcPr>
          <w:p>
            <w:pPr>
              <w:spacing w:after="20"/>
            </w:pPr>
            <w:r>
              <w:rPr>
                <w:sz w:val="16"/>
              </w:rPr>
            </w:r>
            <w:r>
              <w:rPr>
                <w:sz w:val="16"/>
              </w:rPr>
              <w:t>≈ US$30/yr</w:t>
            </w:r>
          </w:p>
        </w:tc>
        <w:tc>
          <w:tcPr>
            <w:tcW w:type="dxa" w:w="1644"/>
            <w:shd w:val="clear" w:color="auto" w:fill="F3F0EB"/>
          </w:tcPr>
          <w:p>
            <w:pPr>
              <w:spacing w:after="20"/>
            </w:pPr>
            <w:r>
              <w:rPr>
                <w:sz w:val="16"/>
              </w:rPr>
            </w:r>
            <w:r>
              <w:rPr>
                <w:sz w:val="16"/>
              </w:rPr>
              <w:t>No scoring, iOS</w:t>
            </w:r>
          </w:p>
        </w:tc>
      </w:tr>
      <w:tr>
        <w:tc>
          <w:tcPr>
            <w:tcW w:type="dxa" w:w="1814"/>
          </w:tcPr>
          <w:p>
            <w:pPr>
              <w:spacing w:after="20"/>
            </w:pPr>
            <w:r>
              <w:rPr>
                <w:sz w:val="16"/>
              </w:rPr>
            </w:r>
            <w:r>
              <w:rPr>
                <w:sz w:val="16"/>
              </w:rPr>
              <w:t>Pronunciation Coach 3D</w:t>
            </w:r>
          </w:p>
        </w:tc>
        <w:tc>
          <w:tcPr>
            <w:tcW w:type="dxa" w:w="1191"/>
          </w:tcPr>
          <w:p>
            <w:pPr>
              <w:spacing w:after="20"/>
            </w:pPr>
            <w:r>
              <w:rPr>
                <w:sz w:val="16"/>
              </w:rPr>
            </w:r>
            <w:r>
              <w:rPr>
                <w:sz w:val="16"/>
              </w:rPr>
              <w:t>English</w:t>
            </w:r>
          </w:p>
        </w:tc>
        <w:tc>
          <w:tcPr>
            <w:tcW w:type="dxa" w:w="1644"/>
          </w:tcPr>
          <w:p>
            <w:pPr>
              <w:spacing w:after="20"/>
            </w:pPr>
            <w:r>
              <w:rPr>
                <w:sz w:val="16"/>
              </w:rPr>
            </w:r>
            <w:r>
              <w:rPr>
                <w:sz w:val="16"/>
              </w:rPr>
              <w:t>Word-level score</w:t>
            </w:r>
          </w:p>
        </w:tc>
        <w:tc>
          <w:tcPr>
            <w:tcW w:type="dxa" w:w="1304"/>
          </w:tcPr>
          <w:p>
            <w:pPr>
              <w:spacing w:after="20"/>
            </w:pPr>
            <w:r>
              <w:rPr>
                <w:sz w:val="16"/>
              </w:rPr>
            </w:r>
            <w:r>
              <w:rPr>
                <w:sz w:val="16"/>
              </w:rPr>
              <w:t>3D model</w:t>
            </w:r>
          </w:p>
        </w:tc>
        <w:tc>
          <w:tcPr>
            <w:tcW w:type="dxa" w:w="1814"/>
          </w:tcPr>
          <w:p>
            <w:pPr>
              <w:spacing w:after="20"/>
            </w:pPr>
            <w:r>
              <w:rPr>
                <w:sz w:val="16"/>
              </w:rPr>
            </w:r>
            <w:r>
              <w:rPr>
                <w:sz w:val="16"/>
              </w:rPr>
              <w:t>One-time, Windows</w:t>
            </w:r>
          </w:p>
        </w:tc>
        <w:tc>
          <w:tcPr>
            <w:tcW w:type="dxa" w:w="1644"/>
          </w:tcPr>
          <w:p>
            <w:pPr>
              <w:spacing w:after="20"/>
            </w:pPr>
            <w:r>
              <w:rPr>
                <w:sz w:val="16"/>
              </w:rPr>
            </w:r>
            <w:r>
              <w:rPr>
                <w:sz w:val="16"/>
              </w:rPr>
              <w:t>Desktop, English learners</w:t>
            </w:r>
          </w:p>
        </w:tc>
      </w:tr>
      <w:tr>
        <w:tc>
          <w:tcPr>
            <w:tcW w:type="dxa" w:w="1814"/>
            <w:shd w:val="clear" w:color="auto" w:fill="F3F0EB"/>
          </w:tcPr>
          <w:p>
            <w:pPr>
              <w:spacing w:after="20"/>
            </w:pPr>
            <w:r>
              <w:rPr>
                <w:sz w:val="16"/>
              </w:rPr>
            </w:r>
            <w:r>
              <w:rPr>
                <w:sz w:val="16"/>
              </w:rPr>
              <w:t>SpeechLP / Sara</w:t>
            </w:r>
          </w:p>
        </w:tc>
        <w:tc>
          <w:tcPr>
            <w:tcW w:type="dxa" w:w="1191"/>
            <w:shd w:val="clear" w:color="auto" w:fill="F3F0EB"/>
          </w:tcPr>
          <w:p>
            <w:pPr>
              <w:spacing w:after="20"/>
            </w:pPr>
            <w:r>
              <w:rPr>
                <w:sz w:val="16"/>
              </w:rPr>
            </w:r>
            <w:r>
              <w:rPr>
                <w:sz w:val="16"/>
              </w:rPr>
              <w:t>English</w:t>
            </w:r>
          </w:p>
        </w:tc>
        <w:tc>
          <w:tcPr>
            <w:tcW w:type="dxa" w:w="1644"/>
            <w:shd w:val="clear" w:color="auto" w:fill="F3F0EB"/>
          </w:tcPr>
          <w:p>
            <w:pPr>
              <w:spacing w:after="20"/>
            </w:pPr>
            <w:r>
              <w:rPr>
                <w:sz w:val="16"/>
              </w:rPr>
            </w:r>
            <w:r>
              <w:rPr>
                <w:sz w:val="16"/>
              </w:rPr>
              <w:t>Yes</w:t>
            </w:r>
          </w:p>
        </w:tc>
        <w:tc>
          <w:tcPr>
            <w:tcW w:type="dxa" w:w="1304"/>
            <w:shd w:val="clear" w:color="auto" w:fill="F3F0EB"/>
          </w:tcPr>
          <w:p>
            <w:pPr>
              <w:spacing w:after="20"/>
            </w:pPr>
            <w:r>
              <w:rPr>
                <w:sz w:val="16"/>
              </w:rPr>
            </w:r>
            <w:r>
              <w:rPr>
                <w:sz w:val="16"/>
              </w:rPr>
              <w:t>No</w:t>
            </w:r>
          </w:p>
        </w:tc>
        <w:tc>
          <w:tcPr>
            <w:tcW w:type="dxa" w:w="1814"/>
            <w:shd w:val="clear" w:color="auto" w:fill="F3F0EB"/>
          </w:tcPr>
          <w:p>
            <w:pPr>
              <w:spacing w:after="20"/>
            </w:pPr>
            <w:r>
              <w:rPr>
                <w:sz w:val="16"/>
              </w:rPr>
            </w:r>
            <w:r>
              <w:rPr>
                <w:sz w:val="16"/>
              </w:rPr>
              <w:t>Free beta / subscription</w:t>
            </w:r>
          </w:p>
        </w:tc>
        <w:tc>
          <w:tcPr>
            <w:tcW w:type="dxa" w:w="1644"/>
            <w:shd w:val="clear" w:color="auto" w:fill="F3F0EB"/>
          </w:tcPr>
          <w:p>
            <w:pPr>
              <w:spacing w:after="20"/>
            </w:pPr>
            <w:r>
              <w:rPr>
                <w:sz w:val="16"/>
              </w:rPr>
            </w:r>
            <w:r>
              <w:rPr>
                <w:sz w:val="16"/>
              </w:rPr>
              <w:t>No visuals, no Indian sounds</w:t>
            </w:r>
          </w:p>
        </w:tc>
      </w:tr>
      <w:tr>
        <w:tc>
          <w:tcPr>
            <w:tcW w:type="dxa" w:w="1814"/>
            <w:shd w:val="clear" w:color="auto" w:fill="E3F2EF"/>
          </w:tcPr>
          <w:p>
            <w:pPr>
              <w:spacing w:after="20"/>
            </w:pPr>
            <w:r>
              <w:rPr>
                <w:sz w:val="16"/>
              </w:rPr>
            </w:r>
            <w:r>
              <w:rPr>
                <w:b/>
                <w:sz w:val="16"/>
              </w:rPr>
              <w:t>SayBetter AI</w:t>
            </w:r>
          </w:p>
        </w:tc>
        <w:tc>
          <w:tcPr>
            <w:tcW w:type="dxa" w:w="1191"/>
            <w:shd w:val="clear" w:color="auto" w:fill="E3F2EF"/>
          </w:tcPr>
          <w:p>
            <w:pPr>
              <w:spacing w:after="20"/>
            </w:pPr>
            <w:r>
              <w:rPr>
                <w:sz w:val="16"/>
              </w:rPr>
            </w:r>
            <w:r>
              <w:rPr>
                <w:b/>
                <w:sz w:val="16"/>
              </w:rPr>
              <w:t>Tamil + Hindi</w:t>
            </w:r>
          </w:p>
        </w:tc>
        <w:tc>
          <w:tcPr>
            <w:tcW w:type="dxa" w:w="1644"/>
            <w:shd w:val="clear" w:color="auto" w:fill="E3F2EF"/>
          </w:tcPr>
          <w:p>
            <w:pPr>
              <w:spacing w:after="20"/>
            </w:pPr>
            <w:r>
              <w:rPr>
                <w:sz w:val="16"/>
              </w:rPr>
            </w:r>
            <w:r>
              <w:rPr>
                <w:b/>
                <w:sz w:val="16"/>
              </w:rPr>
              <w:t>Yes — 3 checks + honest confidence</w:t>
            </w:r>
          </w:p>
        </w:tc>
        <w:tc>
          <w:tcPr>
            <w:tcW w:type="dxa" w:w="1304"/>
            <w:shd w:val="clear" w:color="auto" w:fill="E3F2EF"/>
          </w:tcPr>
          <w:p>
            <w:pPr>
              <w:spacing w:after="20"/>
            </w:pPr>
            <w:r>
              <w:rPr>
                <w:sz w:val="16"/>
              </w:rPr>
            </w:r>
            <w:r>
              <w:rPr>
                <w:b/>
                <w:sz w:val="16"/>
              </w:rPr>
              <w:t>Animated diagrams</w:t>
            </w:r>
          </w:p>
        </w:tc>
        <w:tc>
          <w:tcPr>
            <w:tcW w:type="dxa" w:w="1814"/>
            <w:shd w:val="clear" w:color="auto" w:fill="E3F2EF"/>
          </w:tcPr>
          <w:p>
            <w:pPr>
              <w:spacing w:after="20"/>
            </w:pPr>
            <w:r>
              <w:rPr>
                <w:sz w:val="16"/>
              </w:rPr>
            </w:r>
            <w:r>
              <w:rPr>
                <w:b/>
                <w:sz w:val="16"/>
              </w:rPr>
              <w:t>₹999/yr (proposed)</w:t>
            </w:r>
          </w:p>
        </w:tc>
        <w:tc>
          <w:tcPr>
            <w:tcW w:type="dxa" w:w="1644"/>
            <w:shd w:val="clear" w:color="auto" w:fill="E3F2EF"/>
          </w:tcPr>
          <w:p>
            <w:pPr>
              <w:spacing w:after="20"/>
            </w:pPr>
            <w:r>
              <w:rPr>
                <w:sz w:val="16"/>
              </w:rPr>
            </w:r>
            <w:r>
              <w:rPr>
                <w:b/>
                <w:sz w:val="16"/>
              </w:rPr>
              <w:t>Accuracy to be validated on real speech</w:t>
            </w:r>
          </w:p>
        </w:tc>
      </w:tr>
    </w:tbl>
    <w:p/>
    <w:p>
      <w:r>
        <w:rPr>
          <w:b w:val="0"/>
          <w:i/>
          <w:color w:val="4A5568"/>
          <w:sz w:val="18"/>
        </w:rPr>
        <w:t>Sources: [21–24, 29, 30] and app-store listings reviewed in our competitor scan.</w:t>
      </w:r>
    </w:p>
    <w:p>
      <w:pPr>
        <w:pStyle w:val="Heading2"/>
      </w:pPr>
      <w:r>
        <w:t>6.1 Positioning statement</w:t>
      </w:r>
    </w:p>
    <w:tbl>
      <w:tblPr>
        <w:tblW w:type="auto" w:w="0"/>
        <w:jc w:val="center"/>
        <w:tblLook w:firstColumn="1" w:firstRow="1" w:lastColumn="0" w:lastRow="0" w:noHBand="0" w:noVBand="1" w:val="04A0"/>
      </w:tblPr>
      <w:tblGrid>
        <w:gridCol w:w="9412"/>
      </w:tblGrid>
      <w:tr>
        <w:tc>
          <w:tcPr>
            <w:tcW w:type="dxa" w:w="9411"/>
            <w:shd w:val="clear" w:color="auto" w:fill="E3F2EF"/>
          </w:tcPr>
          <w:p>
            <w:r>
              <w:rPr>
                <w:sz w:val="20"/>
              </w:rPr>
            </w:r>
            <w:r>
              <w:rPr>
                <w:sz w:val="20"/>
              </w:rPr>
              <w:t>For families and adults in India who cannot get enough speech-therapy practice, SayBetter AI is a speech-practice coach in Tamil and Hindi that shows how to make each sound, tells you which sound you actually said, and plans your next exercise — unlike English-only apps or ₹600+ teletherapy sessions, it gives daily, checked practice for less than the price of one session a year.</w:t>
            </w:r>
          </w:p>
        </w:tc>
      </w:tr>
    </w:tbl>
    <w:p/>
    <w:p>
      <w:pPr>
        <w:pStyle w:val="Heading2"/>
      </w:pPr>
      <w:r>
        <w:t>6.2 Why we can win</w:t>
      </w:r>
    </w:p>
    <w:p>
      <w:pPr>
        <w:pStyle w:val="ListBullet"/>
      </w:pPr>
      <w:r>
        <w:rPr>
          <w:b/>
        </w:rPr>
        <w:t xml:space="preserve">Indian-language sounds: </w:t>
      </w:r>
      <w:r>
        <w:t>built around ழ, ள, ர, र, श, ख and their typical mix-ups, not English phonemes.</w:t>
      </w:r>
    </w:p>
    <w:p>
      <w:pPr>
        <w:pStyle w:val="ListBullet"/>
      </w:pPr>
      <w:r>
        <w:rPr>
          <w:b/>
        </w:rPr>
        <w:t xml:space="preserve">Says which sound you made: </w:t>
      </w:r>
      <w:r>
        <w:t>three independent checks (Sarvam speech-to-text, a phoneme model, and comparison with Sarvam voices) and a confidence based on measured accuracy — it says “not sure” rather than guessing.</w:t>
      </w:r>
    </w:p>
    <w:p>
      <w:pPr>
        <w:pStyle w:val="ListBullet"/>
      </w:pPr>
      <w:r>
        <w:rPr>
          <w:b/>
        </w:rPr>
        <w:t xml:space="preserve">Shows the mouth: </w:t>
      </w:r>
      <w:r>
        <w:t>animated side-view diagrams of the target sound next to the sound the learner made.</w:t>
      </w:r>
    </w:p>
    <w:p>
      <w:pPr>
        <w:pStyle w:val="ListBullet"/>
      </w:pPr>
      <w:r>
        <w:rPr>
          <w:b/>
        </w:rPr>
        <w:t xml:space="preserve">Therapist logic: </w:t>
      </w:r>
      <w:r>
        <w:t>assessment → one target → 5 levels → move up/back on evidence; suggests a therapist when stuck.</w:t>
      </w:r>
    </w:p>
    <w:p>
      <w:pPr>
        <w:pStyle w:val="ListBullet"/>
      </w:pPr>
      <w:r>
        <w:rPr>
          <w:b/>
        </w:rPr>
        <w:t xml:space="preserve">Price: </w:t>
      </w:r>
      <w:r>
        <w:t>about the cost of one clinic session per year.</w:t>
      </w:r>
    </w:p>
    <w:p>
      <w:pPr>
        <w:pStyle w:val="Heading1"/>
      </w:pPr>
      <w:r>
        <w:t>7. Ease of use</w:t>
      </w:r>
    </w:p>
    <w:p>
      <w:pPr>
        <w:pStyle w:val="Heading2"/>
      </w:pPr>
      <w:r>
        <w:t>7.1 What the MVP already does</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2551"/>
            <w:shd w:val="clear" w:color="auto" w:fill="0F766E"/>
          </w:tcPr>
          <w:p>
            <w:pPr>
              <w:keepNext/>
              <w:spacing w:after="20"/>
            </w:pPr>
            <w:r>
              <w:rPr>
                <w:sz w:val="18"/>
              </w:rPr>
            </w:r>
            <w:r>
              <w:rPr>
                <w:b/>
                <w:color w:val="FFFFFF"/>
                <w:sz w:val="18"/>
              </w:rPr>
              <w:t>Principle</w:t>
            </w:r>
          </w:p>
        </w:tc>
        <w:tc>
          <w:tcPr>
            <w:tcW w:type="dxa" w:w="6860"/>
            <w:shd w:val="clear" w:color="auto" w:fill="0F766E"/>
          </w:tcPr>
          <w:p>
            <w:pPr>
              <w:keepNext/>
              <w:spacing w:after="20"/>
            </w:pPr>
            <w:r>
              <w:rPr>
                <w:sz w:val="18"/>
              </w:rPr>
            </w:r>
            <w:r>
              <w:rPr>
                <w:b/>
                <w:color w:val="FFFFFF"/>
                <w:sz w:val="18"/>
              </w:rPr>
              <w:t>How SayBetter applies it</w:t>
            </w:r>
          </w:p>
        </w:tc>
      </w:tr>
      <w:tr>
        <w:tc>
          <w:tcPr>
            <w:tcW w:type="dxa" w:w="2551"/>
          </w:tcPr>
          <w:p>
            <w:pPr>
              <w:spacing w:after="20"/>
            </w:pPr>
            <w:r>
              <w:rPr>
                <w:sz w:val="18"/>
              </w:rPr>
            </w:r>
            <w:r>
              <w:rPr>
                <w:sz w:val="18"/>
              </w:rPr>
              <w:t>One action per screen</w:t>
            </w:r>
          </w:p>
        </w:tc>
        <w:tc>
          <w:tcPr>
            <w:tcW w:type="dxa" w:w="6860"/>
          </w:tcPr>
          <w:p>
            <w:pPr>
              <w:spacing w:after="20"/>
            </w:pPr>
            <w:r>
              <w:rPr>
                <w:sz w:val="18"/>
              </w:rPr>
            </w:r>
            <w:r>
              <w:rPr>
                <w:sz w:val="18"/>
              </w:rPr>
              <w:t>Large record button, one target word at a time, clear Try again / Continue</w:t>
            </w:r>
          </w:p>
        </w:tc>
      </w:tr>
      <w:tr>
        <w:tc>
          <w:tcPr>
            <w:tcW w:type="dxa" w:w="2551"/>
            <w:shd w:val="clear" w:color="auto" w:fill="F3F0EB"/>
          </w:tcPr>
          <w:p>
            <w:pPr>
              <w:spacing w:after="20"/>
            </w:pPr>
            <w:r>
              <w:rPr>
                <w:sz w:val="18"/>
              </w:rPr>
            </w:r>
            <w:r>
              <w:rPr>
                <w:sz w:val="18"/>
              </w:rPr>
              <w:t>Low literacy friendly</w:t>
            </w:r>
          </w:p>
        </w:tc>
        <w:tc>
          <w:tcPr>
            <w:tcW w:type="dxa" w:w="6860"/>
            <w:shd w:val="clear" w:color="auto" w:fill="F3F0EB"/>
          </w:tcPr>
          <w:p>
            <w:pPr>
              <w:spacing w:after="20"/>
            </w:pPr>
            <w:r>
              <w:rPr>
                <w:sz w:val="18"/>
              </w:rPr>
            </w:r>
            <w:r>
              <w:rPr>
                <w:sz w:val="18"/>
              </w:rPr>
              <w:t>Native script with the target sound highlighted, romanisation, meaning and a “Hear reference” voice</w:t>
            </w:r>
          </w:p>
        </w:tc>
      </w:tr>
      <w:tr>
        <w:tc>
          <w:tcPr>
            <w:tcW w:type="dxa" w:w="2551"/>
          </w:tcPr>
          <w:p>
            <w:pPr>
              <w:spacing w:after="20"/>
            </w:pPr>
            <w:r>
              <w:rPr>
                <w:sz w:val="18"/>
              </w:rPr>
            </w:r>
            <w:r>
              <w:rPr>
                <w:sz w:val="18"/>
              </w:rPr>
              <w:t>Fast start</w:t>
            </w:r>
          </w:p>
        </w:tc>
        <w:tc>
          <w:tcPr>
            <w:tcW w:type="dxa" w:w="6860"/>
          </w:tcPr>
          <w:p>
            <w:pPr>
              <w:spacing w:after="20"/>
            </w:pPr>
            <w:r>
              <w:rPr>
                <w:sz w:val="18"/>
              </w:rPr>
            </w:r>
            <w:r>
              <w:rPr>
                <w:sz w:val="18"/>
              </w:rPr>
              <w:t>2-minute check of 6 words builds the plan; no long questionnaire</w:t>
            </w:r>
          </w:p>
        </w:tc>
      </w:tr>
      <w:tr>
        <w:tc>
          <w:tcPr>
            <w:tcW w:type="dxa" w:w="2551"/>
            <w:shd w:val="clear" w:color="auto" w:fill="F3F0EB"/>
          </w:tcPr>
          <w:p>
            <w:pPr>
              <w:spacing w:after="20"/>
            </w:pPr>
            <w:r>
              <w:rPr>
                <w:sz w:val="18"/>
              </w:rPr>
            </w:r>
            <w:r>
              <w:rPr>
                <w:sz w:val="18"/>
              </w:rPr>
              <w:t>Shows, not tells</w:t>
            </w:r>
          </w:p>
        </w:tc>
        <w:tc>
          <w:tcPr>
            <w:tcW w:type="dxa" w:w="6860"/>
            <w:shd w:val="clear" w:color="auto" w:fill="F3F0EB"/>
          </w:tcPr>
          <w:p>
            <w:pPr>
              <w:spacing w:after="20"/>
            </w:pPr>
            <w:r>
              <w:rPr>
                <w:sz w:val="18"/>
              </w:rPr>
            </w:r>
            <w:r>
              <w:rPr>
                <w:sz w:val="18"/>
              </w:rPr>
              <w:t>Animated mouth diagrams instead of technical terms</w:t>
            </w:r>
          </w:p>
        </w:tc>
      </w:tr>
      <w:tr>
        <w:tc>
          <w:tcPr>
            <w:tcW w:type="dxa" w:w="2551"/>
          </w:tcPr>
          <w:p>
            <w:pPr>
              <w:spacing w:after="20"/>
            </w:pPr>
            <w:r>
              <w:rPr>
                <w:sz w:val="18"/>
              </w:rPr>
            </w:r>
            <w:r>
              <w:rPr>
                <w:sz w:val="18"/>
              </w:rPr>
              <w:t>Encouraging, not shaming</w:t>
            </w:r>
          </w:p>
        </w:tc>
        <w:tc>
          <w:tcPr>
            <w:tcW w:type="dxa" w:w="6860"/>
          </w:tcPr>
          <w:p>
            <w:pPr>
              <w:spacing w:after="20"/>
            </w:pPr>
            <w:r>
              <w:rPr>
                <w:sz w:val="18"/>
              </w:rPr>
            </w:r>
            <w:r>
              <w:rPr>
                <w:sz w:val="18"/>
              </w:rPr>
              <w:t>Feedback style choice (brief / step by step / encouraging); “mixed up” not “wrong”</w:t>
            </w:r>
          </w:p>
        </w:tc>
      </w:tr>
      <w:tr>
        <w:tc>
          <w:tcPr>
            <w:tcW w:type="dxa" w:w="2551"/>
            <w:shd w:val="clear" w:color="auto" w:fill="F3F0EB"/>
          </w:tcPr>
          <w:p>
            <w:pPr>
              <w:spacing w:after="20"/>
            </w:pPr>
            <w:r>
              <w:rPr>
                <w:sz w:val="18"/>
              </w:rPr>
            </w:r>
            <w:r>
              <w:rPr>
                <w:sz w:val="18"/>
              </w:rPr>
              <w:t>Honest</w:t>
            </w:r>
          </w:p>
        </w:tc>
        <w:tc>
          <w:tcPr>
            <w:tcW w:type="dxa" w:w="6860"/>
            <w:shd w:val="clear" w:color="auto" w:fill="F3F0EB"/>
          </w:tcPr>
          <w:p>
            <w:pPr>
              <w:spacing w:after="20"/>
            </w:pPr>
            <w:r>
              <w:rPr>
                <w:sz w:val="18"/>
              </w:rPr>
            </w:r>
            <w:r>
              <w:rPr>
                <w:sz w:val="18"/>
              </w:rPr>
              <w:t>Shows confidence and “not sure” instead of fake scores; progress labelled as app estimates</w:t>
            </w:r>
          </w:p>
        </w:tc>
      </w:tr>
      <w:tr>
        <w:tc>
          <w:tcPr>
            <w:tcW w:type="dxa" w:w="2551"/>
          </w:tcPr>
          <w:p>
            <w:pPr>
              <w:spacing w:after="20"/>
            </w:pPr>
            <w:r>
              <w:rPr>
                <w:sz w:val="18"/>
              </w:rPr>
            </w:r>
            <w:r>
              <w:rPr>
                <w:sz w:val="18"/>
              </w:rPr>
              <w:t>Private by default</w:t>
            </w:r>
          </w:p>
        </w:tc>
        <w:tc>
          <w:tcPr>
            <w:tcW w:type="dxa" w:w="6860"/>
          </w:tcPr>
          <w:p>
            <w:pPr>
              <w:spacing w:after="20"/>
            </w:pPr>
            <w:r>
              <w:rPr>
                <w:sz w:val="18"/>
              </w:rPr>
            </w:r>
            <w:r>
              <w:rPr>
                <w:sz w:val="18"/>
              </w:rPr>
              <w:t>Recordings deleted after analysis unless the user opts in; one-tap delete of all data</w:t>
            </w:r>
          </w:p>
        </w:tc>
      </w:tr>
      <w:tr>
        <w:tc>
          <w:tcPr>
            <w:tcW w:type="dxa" w:w="2551"/>
            <w:shd w:val="clear" w:color="auto" w:fill="F3F0EB"/>
          </w:tcPr>
          <w:p>
            <w:pPr>
              <w:spacing w:after="20"/>
            </w:pPr>
            <w:r>
              <w:rPr>
                <w:sz w:val="18"/>
              </w:rPr>
            </w:r>
            <w:r>
              <w:rPr>
                <w:sz w:val="18"/>
              </w:rPr>
              <w:t>Works on a phone</w:t>
            </w:r>
          </w:p>
        </w:tc>
        <w:tc>
          <w:tcPr>
            <w:tcW w:type="dxa" w:w="6860"/>
            <w:shd w:val="clear" w:color="auto" w:fill="F3F0EB"/>
          </w:tcPr>
          <w:p>
            <w:pPr>
              <w:spacing w:after="20"/>
            </w:pPr>
            <w:r>
              <w:rPr>
                <w:sz w:val="18"/>
              </w:rPr>
            </w:r>
            <w:r>
              <w:rPr>
                <w:sz w:val="18"/>
              </w:rPr>
              <w:t>Responsive layout, no horizontal scrolling at 375 px; small 16 kHz recordings for low bandwidth</w:t>
            </w:r>
          </w:p>
        </w:tc>
      </w:tr>
    </w:tbl>
    <w:p/>
    <w:p>
      <w:pPr>
        <w:pStyle w:val="Heading2"/>
      </w:pPr>
      <w:r>
        <w:t>7.2 Usability gaps and plan</w:t>
      </w:r>
    </w:p>
    <w:p>
      <w:pPr>
        <w:pStyle w:val="ListBullet"/>
      </w:pPr>
      <w:r>
        <w:rPr>
          <w:b/>
        </w:rPr>
        <w:t xml:space="preserve">Gaps today: </w:t>
      </w:r>
      <w:r>
        <w:t>interface text is in English; needs testing on low-end Android phones and in noisy homes; no caregiver or therapist dashboard yet; no offline mode.</w:t>
      </w:r>
    </w:p>
    <w:p>
      <w:pPr>
        <w:pStyle w:val="ListBullet"/>
      </w:pPr>
      <w:r>
        <w:rPr>
          <w:b/>
        </w:rPr>
        <w:t xml:space="preserve">Test plan: </w:t>
      </w:r>
      <w:r>
        <w:t>moderated tests with 15–20 users (parents, children 6–10, therapists) in Tamil Nadu and a Hindi-speaking state; measure task success (complete the check, practise 5 words), time on task, errors, and System Usability Scale.</w:t>
      </w:r>
    </w:p>
    <w:p>
      <w:pPr>
        <w:pStyle w:val="ListBullet"/>
      </w:pPr>
      <w:r>
        <w:rPr>
          <w:b/>
        </w:rPr>
        <w:t xml:space="preserve">Targets: </w:t>
      </w:r>
      <w:r>
        <w:t>SUS ≥ 75 (“good”); ≥ 90% of parents complete the 2-minute check without help; ≥ 4 practice days per week in week 2.</w:t>
      </w:r>
    </w:p>
    <w:p>
      <w:pPr>
        <w:pStyle w:val="ListBullet"/>
      </w:pPr>
      <w:r>
        <w:rPr>
          <w:b/>
        </w:rPr>
        <w:t xml:space="preserve">Accessibility: </w:t>
      </w:r>
      <w:r>
        <w:t>large text and buttons, audio prompts for every instruction, colour not used alone for meaning, keyboard and screen-reader support.</w:t>
      </w:r>
    </w:p>
    <w:p>
      <w:pPr>
        <w:pStyle w:val="Heading1"/>
      </w:pPr>
      <w:r>
        <w:t>8. Business model and pricing</w:t>
      </w:r>
    </w:p>
    <w:tbl>
      <w:tblPr>
        <w:tblStyle w:val="TableGrid"/>
        <w:tblW w:type="auto" w:w="0"/>
        <w:jc w:val="center"/>
        <w:tblLook w:firstColumn="1" w:firstRow="1" w:lastColumn="0" w:lastRow="0" w:noHBand="0" w:noVBand="1" w:val="04A0"/>
      </w:tblPr>
      <w:tblGrid>
        <w:gridCol w:w="2353"/>
        <w:gridCol w:w="2353"/>
        <w:gridCol w:w="2353"/>
        <w:gridCol w:w="2353"/>
      </w:tblGrid>
      <w:tr>
        <w:trPr>
          <w:tblHeader w:val="true"/>
        </w:trPr>
        <w:tc>
          <w:tcPr>
            <w:tcW w:type="dxa" w:w="1701"/>
            <w:shd w:val="clear" w:color="auto" w:fill="0F766E"/>
          </w:tcPr>
          <w:p>
            <w:pPr>
              <w:keepNext/>
              <w:spacing w:after="20"/>
            </w:pPr>
            <w:r>
              <w:rPr>
                <w:sz w:val="18"/>
              </w:rPr>
            </w:r>
            <w:r>
              <w:rPr>
                <w:b/>
                <w:color w:val="FFFFFF"/>
                <w:sz w:val="18"/>
              </w:rPr>
              <w:t>Plan</w:t>
            </w:r>
          </w:p>
        </w:tc>
        <w:tc>
          <w:tcPr>
            <w:tcW w:type="dxa" w:w="2154"/>
            <w:shd w:val="clear" w:color="auto" w:fill="0F766E"/>
          </w:tcPr>
          <w:p>
            <w:pPr>
              <w:keepNext/>
              <w:spacing w:after="20"/>
            </w:pPr>
            <w:r>
              <w:rPr>
                <w:sz w:val="18"/>
              </w:rPr>
            </w:r>
            <w:r>
              <w:rPr>
                <w:b/>
                <w:color w:val="FFFFFF"/>
                <w:sz w:val="18"/>
              </w:rPr>
              <w:t>Price (proposed)</w:t>
            </w:r>
          </w:p>
        </w:tc>
        <w:tc>
          <w:tcPr>
            <w:tcW w:type="dxa" w:w="2381"/>
            <w:shd w:val="clear" w:color="auto" w:fill="0F766E"/>
          </w:tcPr>
          <w:p>
            <w:pPr>
              <w:keepNext/>
              <w:spacing w:after="20"/>
            </w:pPr>
            <w:r>
              <w:rPr>
                <w:sz w:val="18"/>
              </w:rPr>
            </w:r>
            <w:r>
              <w:rPr>
                <w:b/>
                <w:color w:val="FFFFFF"/>
                <w:sz w:val="18"/>
              </w:rPr>
              <w:t>For</w:t>
            </w:r>
          </w:p>
        </w:tc>
        <w:tc>
          <w:tcPr>
            <w:tcW w:type="dxa" w:w="3175"/>
            <w:shd w:val="clear" w:color="auto" w:fill="0F766E"/>
          </w:tcPr>
          <w:p>
            <w:pPr>
              <w:keepNext/>
              <w:spacing w:after="20"/>
            </w:pPr>
            <w:r>
              <w:rPr>
                <w:sz w:val="18"/>
              </w:rPr>
            </w:r>
            <w:r>
              <w:rPr>
                <w:b/>
                <w:color w:val="FFFFFF"/>
                <w:sz w:val="18"/>
              </w:rPr>
              <w:t>Includes</w:t>
            </w:r>
          </w:p>
        </w:tc>
      </w:tr>
      <w:tr>
        <w:tc>
          <w:tcPr>
            <w:tcW w:type="dxa" w:w="1701"/>
          </w:tcPr>
          <w:p>
            <w:pPr>
              <w:spacing w:after="20"/>
            </w:pPr>
            <w:r>
              <w:rPr>
                <w:sz w:val="18"/>
              </w:rPr>
            </w:r>
            <w:r>
              <w:rPr>
                <w:sz w:val="18"/>
              </w:rPr>
              <w:t>Free</w:t>
            </w:r>
          </w:p>
        </w:tc>
        <w:tc>
          <w:tcPr>
            <w:tcW w:type="dxa" w:w="2154"/>
          </w:tcPr>
          <w:p>
            <w:pPr>
              <w:spacing w:after="20"/>
            </w:pPr>
            <w:r>
              <w:rPr>
                <w:sz w:val="18"/>
              </w:rPr>
            </w:r>
            <w:r>
              <w:rPr>
                <w:sz w:val="18"/>
              </w:rPr>
              <w:t>₹0</w:t>
            </w:r>
          </w:p>
        </w:tc>
        <w:tc>
          <w:tcPr>
            <w:tcW w:type="dxa" w:w="2381"/>
          </w:tcPr>
          <w:p>
            <w:pPr>
              <w:spacing w:after="20"/>
            </w:pPr>
            <w:r>
              <w:rPr>
                <w:sz w:val="18"/>
              </w:rPr>
            </w:r>
            <w:r>
              <w:rPr>
                <w:sz w:val="18"/>
              </w:rPr>
              <w:t>Anyone</w:t>
            </w:r>
          </w:p>
        </w:tc>
        <w:tc>
          <w:tcPr>
            <w:tcW w:type="dxa" w:w="3175"/>
          </w:tcPr>
          <w:p>
            <w:pPr>
              <w:spacing w:after="20"/>
            </w:pPr>
            <w:r>
              <w:rPr>
                <w:sz w:val="18"/>
              </w:rPr>
            </w:r>
            <w:r>
              <w:rPr>
                <w:sz w:val="18"/>
              </w:rPr>
              <w:t>2-minute check, one sound, limited daily attempts</w:t>
            </w:r>
          </w:p>
        </w:tc>
      </w:tr>
      <w:tr>
        <w:tc>
          <w:tcPr>
            <w:tcW w:type="dxa" w:w="1701"/>
            <w:shd w:val="clear" w:color="auto" w:fill="F3F0EB"/>
          </w:tcPr>
          <w:p>
            <w:pPr>
              <w:spacing w:after="20"/>
            </w:pPr>
            <w:r>
              <w:rPr>
                <w:sz w:val="18"/>
              </w:rPr>
            </w:r>
            <w:r>
              <w:rPr>
                <w:sz w:val="18"/>
              </w:rPr>
              <w:t>Family</w:t>
            </w:r>
          </w:p>
        </w:tc>
        <w:tc>
          <w:tcPr>
            <w:tcW w:type="dxa" w:w="2154"/>
            <w:shd w:val="clear" w:color="auto" w:fill="F3F0EB"/>
          </w:tcPr>
          <w:p>
            <w:pPr>
              <w:spacing w:after="20"/>
            </w:pPr>
            <w:r>
              <w:rPr>
                <w:sz w:val="18"/>
              </w:rPr>
            </w:r>
            <w:r>
              <w:rPr>
                <w:sz w:val="18"/>
              </w:rPr>
              <w:t>₹149/month or ₹999/year</w:t>
            </w:r>
          </w:p>
        </w:tc>
        <w:tc>
          <w:tcPr>
            <w:tcW w:type="dxa" w:w="2381"/>
            <w:shd w:val="clear" w:color="auto" w:fill="F3F0EB"/>
          </w:tcPr>
          <w:p>
            <w:pPr>
              <w:spacing w:after="20"/>
            </w:pPr>
            <w:r>
              <w:rPr>
                <w:sz w:val="18"/>
              </w:rPr>
            </w:r>
            <w:r>
              <w:rPr>
                <w:sz w:val="18"/>
              </w:rPr>
              <w:t>Parents, adult learners</w:t>
            </w:r>
          </w:p>
        </w:tc>
        <w:tc>
          <w:tcPr>
            <w:tcW w:type="dxa" w:w="3175"/>
            <w:shd w:val="clear" w:color="auto" w:fill="F3F0EB"/>
          </w:tcPr>
          <w:p>
            <w:pPr>
              <w:spacing w:after="20"/>
            </w:pPr>
            <w:r>
              <w:rPr>
                <w:sz w:val="18"/>
              </w:rPr>
            </w:r>
            <w:r>
              <w:rPr>
                <w:sz w:val="18"/>
              </w:rPr>
              <w:t>All sounds and levels, progress, reference audio</w:t>
            </w:r>
          </w:p>
        </w:tc>
      </w:tr>
      <w:tr>
        <w:tc>
          <w:tcPr>
            <w:tcW w:type="dxa" w:w="1701"/>
          </w:tcPr>
          <w:p>
            <w:pPr>
              <w:spacing w:after="20"/>
            </w:pPr>
            <w:r>
              <w:rPr>
                <w:sz w:val="18"/>
              </w:rPr>
            </w:r>
            <w:r>
              <w:rPr>
                <w:sz w:val="18"/>
              </w:rPr>
              <w:t>Clinic</w:t>
            </w:r>
          </w:p>
        </w:tc>
        <w:tc>
          <w:tcPr>
            <w:tcW w:type="dxa" w:w="2154"/>
          </w:tcPr>
          <w:p>
            <w:pPr>
              <w:spacing w:after="20"/>
            </w:pPr>
            <w:r>
              <w:rPr>
                <w:sz w:val="18"/>
              </w:rPr>
            </w:r>
            <w:r>
              <w:rPr>
                <w:sz w:val="18"/>
              </w:rPr>
              <w:t>₹499 per therapist per month</w:t>
            </w:r>
          </w:p>
        </w:tc>
        <w:tc>
          <w:tcPr>
            <w:tcW w:type="dxa" w:w="2381"/>
          </w:tcPr>
          <w:p>
            <w:pPr>
              <w:spacing w:after="20"/>
            </w:pPr>
            <w:r>
              <w:rPr>
                <w:sz w:val="18"/>
              </w:rPr>
            </w:r>
            <w:r>
              <w:rPr>
                <w:sz w:val="18"/>
              </w:rPr>
              <w:t>Private therapists</w:t>
            </w:r>
          </w:p>
        </w:tc>
        <w:tc>
          <w:tcPr>
            <w:tcW w:type="dxa" w:w="3175"/>
          </w:tcPr>
          <w:p>
            <w:pPr>
              <w:spacing w:after="20"/>
            </w:pPr>
            <w:r>
              <w:rPr>
                <w:sz w:val="18"/>
              </w:rPr>
            </w:r>
            <w:r>
              <w:rPr>
                <w:sz w:val="18"/>
              </w:rPr>
              <w:t>Up to 15 clients, assign targets, see practice data (roadmap)</w:t>
            </w:r>
          </w:p>
        </w:tc>
      </w:tr>
      <w:tr>
        <w:tc>
          <w:tcPr>
            <w:tcW w:type="dxa" w:w="1701"/>
            <w:shd w:val="clear" w:color="auto" w:fill="F3F0EB"/>
          </w:tcPr>
          <w:p>
            <w:pPr>
              <w:spacing w:after="20"/>
            </w:pPr>
            <w:r>
              <w:rPr>
                <w:sz w:val="18"/>
              </w:rPr>
            </w:r>
            <w:r>
              <w:rPr>
                <w:sz w:val="18"/>
              </w:rPr>
              <w:t>Institution / CSR</w:t>
            </w:r>
          </w:p>
        </w:tc>
        <w:tc>
          <w:tcPr>
            <w:tcW w:type="dxa" w:w="2154"/>
            <w:shd w:val="clear" w:color="auto" w:fill="F3F0EB"/>
          </w:tcPr>
          <w:p>
            <w:pPr>
              <w:spacing w:after="20"/>
            </w:pPr>
            <w:r>
              <w:rPr>
                <w:sz w:val="18"/>
              </w:rPr>
            </w:r>
            <w:r>
              <w:rPr>
                <w:sz w:val="18"/>
              </w:rPr>
              <w:t>≈ ₹300 per child per year</w:t>
            </w:r>
          </w:p>
        </w:tc>
        <w:tc>
          <w:tcPr>
            <w:tcW w:type="dxa" w:w="2381"/>
            <w:shd w:val="clear" w:color="auto" w:fill="F3F0EB"/>
          </w:tcPr>
          <w:p>
            <w:pPr>
              <w:spacing w:after="20"/>
            </w:pPr>
            <w:r>
              <w:rPr>
                <w:sz w:val="18"/>
              </w:rPr>
            </w:r>
            <w:r>
              <w:rPr>
                <w:sz w:val="18"/>
              </w:rPr>
              <w:t>Schools, NGOs, DEIC/DDRC, CSR sponsors</w:t>
            </w:r>
          </w:p>
        </w:tc>
        <w:tc>
          <w:tcPr>
            <w:tcW w:type="dxa" w:w="3175"/>
            <w:shd w:val="clear" w:color="auto" w:fill="F3F0EB"/>
          </w:tcPr>
          <w:p>
            <w:pPr>
              <w:spacing w:after="20"/>
            </w:pPr>
            <w:r>
              <w:rPr>
                <w:sz w:val="18"/>
              </w:rPr>
            </w:r>
            <w:r>
              <w:rPr>
                <w:sz w:val="18"/>
              </w:rPr>
              <w:t>Bulk seats, screening reports, training</w:t>
            </w:r>
          </w:p>
        </w:tc>
      </w:tr>
    </w:tbl>
    <w:p/>
    <w:p>
      <w:pPr>
        <w:pStyle w:val="Heading2"/>
      </w:pPr>
      <w:r>
        <w:t>8.1 Unit economics (our estimates)</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2268"/>
            <w:shd w:val="clear" w:color="auto" w:fill="0F766E"/>
          </w:tcPr>
          <w:p>
            <w:pPr>
              <w:keepNext/>
              <w:spacing w:after="20"/>
            </w:pPr>
            <w:r>
              <w:rPr>
                <w:sz w:val="18"/>
              </w:rPr>
            </w:r>
            <w:r>
              <w:rPr>
                <w:b/>
                <w:color w:val="FFFFFF"/>
                <w:sz w:val="18"/>
              </w:rPr>
              <w:t>Item</w:t>
            </w:r>
          </w:p>
        </w:tc>
        <w:tc>
          <w:tcPr>
            <w:tcW w:type="dxa" w:w="4762"/>
            <w:shd w:val="clear" w:color="auto" w:fill="0F766E"/>
          </w:tcPr>
          <w:p>
            <w:pPr>
              <w:keepNext/>
              <w:spacing w:after="20"/>
            </w:pPr>
            <w:r>
              <w:rPr>
                <w:sz w:val="18"/>
              </w:rPr>
            </w:r>
            <w:r>
              <w:rPr>
                <w:b/>
                <w:color w:val="FFFFFF"/>
                <w:sz w:val="18"/>
              </w:rPr>
              <w:t>Assumption</w:t>
            </w:r>
          </w:p>
        </w:tc>
        <w:tc>
          <w:tcPr>
            <w:tcW w:type="dxa" w:w="2381"/>
            <w:shd w:val="clear" w:color="auto" w:fill="0F766E"/>
          </w:tcPr>
          <w:p>
            <w:pPr>
              <w:keepNext/>
              <w:spacing w:after="20"/>
            </w:pPr>
            <w:r>
              <w:rPr>
                <w:sz w:val="18"/>
              </w:rPr>
            </w:r>
            <w:r>
              <w:rPr>
                <w:b/>
                <w:color w:val="FFFFFF"/>
                <w:sz w:val="18"/>
              </w:rPr>
              <w:t>Cost per active user per month</w:t>
            </w:r>
          </w:p>
        </w:tc>
      </w:tr>
      <w:tr>
        <w:tc>
          <w:tcPr>
            <w:tcW w:type="dxa" w:w="2268"/>
          </w:tcPr>
          <w:p>
            <w:pPr>
              <w:spacing w:after="20"/>
            </w:pPr>
            <w:r>
              <w:rPr>
                <w:sz w:val="18"/>
              </w:rPr>
            </w:r>
            <w:r>
              <w:rPr>
                <w:sz w:val="18"/>
              </w:rPr>
              <w:t>Sarvam speech-to-text</w:t>
            </w:r>
          </w:p>
        </w:tc>
        <w:tc>
          <w:tcPr>
            <w:tcW w:type="dxa" w:w="4762"/>
          </w:tcPr>
          <w:p>
            <w:pPr>
              <w:spacing w:after="20"/>
            </w:pPr>
            <w:r>
              <w:rPr>
                <w:sz w:val="18"/>
              </w:rPr>
            </w:r>
            <w:r>
              <w:rPr>
                <w:sz w:val="18"/>
              </w:rPr>
              <w:t>15 attempts/day × 25 days × ~1.5 s ≈ 9.4 min at ₹0.49/min [25]</w:t>
            </w:r>
          </w:p>
        </w:tc>
        <w:tc>
          <w:tcPr>
            <w:tcW w:type="dxa" w:w="2381"/>
          </w:tcPr>
          <w:p>
            <w:pPr>
              <w:spacing w:after="20"/>
            </w:pPr>
            <w:r>
              <w:rPr>
                <w:sz w:val="18"/>
              </w:rPr>
            </w:r>
            <w:r>
              <w:rPr>
                <w:sz w:val="18"/>
              </w:rPr>
              <w:t>≈ ₹4.6</w:t>
            </w:r>
          </w:p>
        </w:tc>
      </w:tr>
      <w:tr>
        <w:tc>
          <w:tcPr>
            <w:tcW w:type="dxa" w:w="2268"/>
            <w:shd w:val="clear" w:color="auto" w:fill="F3F0EB"/>
          </w:tcPr>
          <w:p>
            <w:pPr>
              <w:spacing w:after="20"/>
            </w:pPr>
            <w:r>
              <w:rPr>
                <w:sz w:val="18"/>
              </w:rPr>
            </w:r>
            <w:r>
              <w:rPr>
                <w:sz w:val="18"/>
              </w:rPr>
              <w:t>Sarvam text-to-speech</w:t>
            </w:r>
          </w:p>
        </w:tc>
        <w:tc>
          <w:tcPr>
            <w:tcW w:type="dxa" w:w="4762"/>
            <w:shd w:val="clear" w:color="auto" w:fill="F3F0EB"/>
          </w:tcPr>
          <w:p>
            <w:pPr>
              <w:spacing w:after="20"/>
            </w:pPr>
            <w:r>
              <w:rPr>
                <w:sz w:val="18"/>
              </w:rPr>
            </w:r>
            <w:r>
              <w:rPr>
                <w:sz w:val="18"/>
              </w:rPr>
              <w:t>Reference and comparison voices generated once per word and cached (₹3 per 1,000 characters) [25]</w:t>
            </w:r>
          </w:p>
        </w:tc>
        <w:tc>
          <w:tcPr>
            <w:tcW w:type="dxa" w:w="2381"/>
            <w:shd w:val="clear" w:color="auto" w:fill="F3F0EB"/>
          </w:tcPr>
          <w:p>
            <w:pPr>
              <w:spacing w:after="20"/>
            </w:pPr>
            <w:r>
              <w:rPr>
                <w:sz w:val="18"/>
              </w:rPr>
            </w:r>
            <w:r>
              <w:rPr>
                <w:sz w:val="18"/>
              </w:rPr>
              <w:t>≈ ₹0 (one-time ≈ ₹20 for the whole library)</w:t>
            </w:r>
          </w:p>
        </w:tc>
      </w:tr>
      <w:tr>
        <w:tc>
          <w:tcPr>
            <w:tcW w:type="dxa" w:w="2268"/>
          </w:tcPr>
          <w:p>
            <w:pPr>
              <w:spacing w:after="20"/>
            </w:pPr>
            <w:r>
              <w:rPr>
                <w:sz w:val="18"/>
              </w:rPr>
            </w:r>
            <w:r>
              <w:rPr>
                <w:sz w:val="18"/>
              </w:rPr>
              <w:t>Compute and hosting</w:t>
            </w:r>
          </w:p>
        </w:tc>
        <w:tc>
          <w:tcPr>
            <w:tcW w:type="dxa" w:w="4762"/>
          </w:tcPr>
          <w:p>
            <w:pPr>
              <w:spacing w:after="20"/>
            </w:pPr>
            <w:r>
              <w:rPr>
                <w:sz w:val="18"/>
              </w:rPr>
            </w:r>
            <w:r>
              <w:rPr>
                <w:sz w:val="18"/>
              </w:rPr>
              <w:t>Phoneme model and voice comparison on CPU servers</w:t>
            </w:r>
          </w:p>
        </w:tc>
        <w:tc>
          <w:tcPr>
            <w:tcW w:type="dxa" w:w="2381"/>
          </w:tcPr>
          <w:p>
            <w:pPr>
              <w:spacing w:after="20"/>
            </w:pPr>
            <w:r>
              <w:rPr>
                <w:sz w:val="18"/>
              </w:rPr>
            </w:r>
            <w:r>
              <w:rPr>
                <w:sz w:val="18"/>
              </w:rPr>
              <w:t>≈ ₹5–10</w:t>
            </w:r>
          </w:p>
        </w:tc>
      </w:tr>
      <w:tr>
        <w:tc>
          <w:tcPr>
            <w:tcW w:type="dxa" w:w="2268"/>
            <w:shd w:val="clear" w:color="auto" w:fill="F3F0EB"/>
          </w:tcPr>
          <w:p>
            <w:pPr>
              <w:spacing w:after="20"/>
            </w:pPr>
            <w:r>
              <w:rPr>
                <w:sz w:val="18"/>
              </w:rPr>
            </w:r>
            <w:r>
              <w:rPr>
                <w:sz w:val="18"/>
              </w:rPr>
              <w:t>Total cost to serve</w:t>
            </w:r>
          </w:p>
        </w:tc>
        <w:tc>
          <w:tcPr>
            <w:tcW w:type="dxa" w:w="4762"/>
            <w:shd w:val="clear" w:color="auto" w:fill="F3F0EB"/>
          </w:tcPr>
          <w:p>
            <w:pPr>
              <w:spacing w:after="20"/>
            </w:pPr>
            <w:r>
              <w:rPr>
                <w:sz w:val="18"/>
              </w:rPr>
            </w:r>
            <w:r>
              <w:rPr>
                <w:sz w:val="18"/>
              </w:rPr>
            </w:r>
          </w:p>
        </w:tc>
        <w:tc>
          <w:tcPr>
            <w:tcW w:type="dxa" w:w="2381"/>
            <w:shd w:val="clear" w:color="auto" w:fill="F3F0EB"/>
          </w:tcPr>
          <w:p>
            <w:pPr>
              <w:spacing w:after="20"/>
            </w:pPr>
            <w:r>
              <w:rPr>
                <w:sz w:val="18"/>
              </w:rPr>
            </w:r>
            <w:r>
              <w:rPr>
                <w:sz w:val="18"/>
              </w:rPr>
              <w:t>≈ ₹10–15</w:t>
            </w:r>
          </w:p>
        </w:tc>
      </w:tr>
      <w:tr>
        <w:tc>
          <w:tcPr>
            <w:tcW w:type="dxa" w:w="2268"/>
            <w:shd w:val="clear" w:color="auto" w:fill="E3F2EF"/>
          </w:tcPr>
          <w:p>
            <w:pPr>
              <w:spacing w:after="20"/>
            </w:pPr>
            <w:r>
              <w:rPr>
                <w:sz w:val="18"/>
              </w:rPr>
            </w:r>
            <w:r>
              <w:rPr>
                <w:b/>
                <w:sz w:val="18"/>
              </w:rPr>
              <w:t>Gross margin at ₹149/month</w:t>
            </w:r>
          </w:p>
        </w:tc>
        <w:tc>
          <w:tcPr>
            <w:tcW w:type="dxa" w:w="4762"/>
            <w:shd w:val="clear" w:color="auto" w:fill="E3F2EF"/>
          </w:tcPr>
          <w:p>
            <w:pPr>
              <w:spacing w:after="20"/>
            </w:pPr>
            <w:r>
              <w:rPr>
                <w:sz w:val="18"/>
              </w:rPr>
            </w:r>
            <w:r>
              <w:rPr>
                <w:b/>
                <w:sz w:val="18"/>
              </w:rPr>
            </w:r>
          </w:p>
        </w:tc>
        <w:tc>
          <w:tcPr>
            <w:tcW w:type="dxa" w:w="2381"/>
            <w:shd w:val="clear" w:color="auto" w:fill="E3F2EF"/>
          </w:tcPr>
          <w:p>
            <w:pPr>
              <w:spacing w:after="20"/>
            </w:pPr>
            <w:r>
              <w:rPr>
                <w:sz w:val="18"/>
              </w:rPr>
            </w:r>
            <w:r>
              <w:rPr>
                <w:b/>
                <w:sz w:val="18"/>
              </w:rPr>
              <w:t>≈ 90%</w:t>
            </w:r>
          </w:p>
        </w:tc>
      </w:tr>
    </w:tbl>
    <w:p/>
    <w:p>
      <w:r>
        <w:rPr>
          <w:b w:val="0"/>
          <w:i w:val="0"/>
          <w:sz w:val="20"/>
        </w:rPr>
        <w:t>Break-even example (our estimate): with a 3-person team at ≈ ₹2.5 lakh/month total cost, about 1,900 Family subscribers at ₹149/month — or a mix of family, clinic and CSR seats — covers operating costs.</w:t>
      </w:r>
    </w:p>
    <w:p>
      <w:pPr>
        <w:pStyle w:val="Heading1"/>
      </w:pPr>
      <w:r>
        <w:t>9. Social impact and sustainability</w:t>
      </w:r>
    </w:p>
    <w:p>
      <w:pPr>
        <w:pStyle w:val="Heading2"/>
      </w:pPr>
      <w:r>
        <w:t>9.1 Sustainable Development Goals</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2948"/>
            <w:shd w:val="clear" w:color="auto" w:fill="0F766E"/>
          </w:tcPr>
          <w:p>
            <w:pPr>
              <w:keepNext/>
              <w:spacing w:after="20"/>
            </w:pPr>
            <w:r>
              <w:rPr>
                <w:sz w:val="18"/>
              </w:rPr>
            </w:r>
            <w:r>
              <w:rPr>
                <w:b/>
                <w:color w:val="FFFFFF"/>
                <w:sz w:val="18"/>
              </w:rPr>
              <w:t>SDG</w:t>
            </w:r>
          </w:p>
        </w:tc>
        <w:tc>
          <w:tcPr>
            <w:tcW w:type="dxa" w:w="6463"/>
            <w:shd w:val="clear" w:color="auto" w:fill="0F766E"/>
          </w:tcPr>
          <w:p>
            <w:pPr>
              <w:keepNext/>
              <w:spacing w:after="20"/>
            </w:pPr>
            <w:r>
              <w:rPr>
                <w:sz w:val="18"/>
              </w:rPr>
            </w:r>
            <w:r>
              <w:rPr>
                <w:b/>
                <w:color w:val="FFFFFF"/>
                <w:sz w:val="18"/>
              </w:rPr>
              <w:t>How SayBetter contributes</w:t>
            </w:r>
          </w:p>
        </w:tc>
      </w:tr>
      <w:tr>
        <w:tc>
          <w:tcPr>
            <w:tcW w:type="dxa" w:w="2948"/>
          </w:tcPr>
          <w:p>
            <w:pPr>
              <w:spacing w:after="20"/>
            </w:pPr>
            <w:r>
              <w:rPr>
                <w:sz w:val="18"/>
              </w:rPr>
            </w:r>
            <w:r>
              <w:rPr>
                <w:sz w:val="18"/>
              </w:rPr>
              <w:t>SDG 3 — Good health and well-being</w:t>
            </w:r>
          </w:p>
        </w:tc>
        <w:tc>
          <w:tcPr>
            <w:tcW w:type="dxa" w:w="6463"/>
          </w:tcPr>
          <w:p>
            <w:pPr>
              <w:spacing w:after="20"/>
            </w:pPr>
            <w:r>
              <w:rPr>
                <w:sz w:val="18"/>
              </w:rPr>
            </w:r>
            <w:r>
              <w:rPr>
                <w:sz w:val="18"/>
              </w:rPr>
              <w:t>Affordable, early support for communication disorders; confidence and mental well-being of children and adults</w:t>
            </w:r>
          </w:p>
        </w:tc>
      </w:tr>
      <w:tr>
        <w:tc>
          <w:tcPr>
            <w:tcW w:type="dxa" w:w="2948"/>
            <w:shd w:val="clear" w:color="auto" w:fill="F3F0EB"/>
          </w:tcPr>
          <w:p>
            <w:pPr>
              <w:spacing w:after="20"/>
            </w:pPr>
            <w:r>
              <w:rPr>
                <w:sz w:val="18"/>
              </w:rPr>
            </w:r>
            <w:r>
              <w:rPr>
                <w:sz w:val="18"/>
              </w:rPr>
              <w:t>SDG 4 — Quality education</w:t>
            </w:r>
          </w:p>
        </w:tc>
        <w:tc>
          <w:tcPr>
            <w:tcW w:type="dxa" w:w="6463"/>
            <w:shd w:val="clear" w:color="auto" w:fill="F3F0EB"/>
          </w:tcPr>
          <w:p>
            <w:pPr>
              <w:spacing w:after="20"/>
            </w:pPr>
            <w:r>
              <w:rPr>
                <w:sz w:val="18"/>
              </w:rPr>
            </w:r>
            <w:r>
              <w:rPr>
                <w:sz w:val="18"/>
              </w:rPr>
              <w:t>Clearer speech supports reading, classroom participation and inclusive education</w:t>
            </w:r>
          </w:p>
        </w:tc>
      </w:tr>
      <w:tr>
        <w:tc>
          <w:tcPr>
            <w:tcW w:type="dxa" w:w="2948"/>
          </w:tcPr>
          <w:p>
            <w:pPr>
              <w:spacing w:after="20"/>
            </w:pPr>
            <w:r>
              <w:rPr>
                <w:sz w:val="18"/>
              </w:rPr>
            </w:r>
            <w:r>
              <w:rPr>
                <w:sz w:val="18"/>
              </w:rPr>
              <w:t>SDG 10 — Reduced inequalities</w:t>
            </w:r>
          </w:p>
        </w:tc>
        <w:tc>
          <w:tcPr>
            <w:tcW w:type="dxa" w:w="6463"/>
          </w:tcPr>
          <w:p>
            <w:pPr>
              <w:spacing w:after="20"/>
            </w:pPr>
            <w:r>
              <w:rPr>
                <w:sz w:val="18"/>
              </w:rPr>
            </w:r>
            <w:r>
              <w:rPr>
                <w:sz w:val="18"/>
              </w:rPr>
              <w:t>Reaches rural, low-income and non-English-speaking families excluded by cost, distance and language</w:t>
            </w:r>
          </w:p>
        </w:tc>
      </w:tr>
      <w:tr>
        <w:tc>
          <w:tcPr>
            <w:tcW w:type="dxa" w:w="2948"/>
            <w:shd w:val="clear" w:color="auto" w:fill="F3F0EB"/>
          </w:tcPr>
          <w:p>
            <w:pPr>
              <w:spacing w:after="20"/>
            </w:pPr>
            <w:r>
              <w:rPr>
                <w:sz w:val="18"/>
              </w:rPr>
            </w:r>
            <w:r>
              <w:rPr>
                <w:sz w:val="18"/>
              </w:rPr>
              <w:t>SDG 9 — Industry, innovation and infrastructure</w:t>
            </w:r>
          </w:p>
        </w:tc>
        <w:tc>
          <w:tcPr>
            <w:tcW w:type="dxa" w:w="6463"/>
            <w:shd w:val="clear" w:color="auto" w:fill="F3F0EB"/>
          </w:tcPr>
          <w:p>
            <w:pPr>
              <w:spacing w:after="20"/>
            </w:pPr>
            <w:r>
              <w:rPr>
                <w:sz w:val="18"/>
              </w:rPr>
            </w:r>
            <w:r>
              <w:rPr>
                <w:sz w:val="18"/>
              </w:rPr>
              <w:t>Indian-language speech AI built on Indian models (Sarvam) for local needs</w:t>
            </w:r>
          </w:p>
        </w:tc>
      </w:tr>
    </w:tbl>
    <w:p/>
    <w:p>
      <w:pPr>
        <w:pStyle w:val="Heading2"/>
      </w:pPr>
      <w:r>
        <w:t>9.2 Theory of change</w:t>
      </w:r>
    </w:p>
    <w:tbl>
      <w:tblPr>
        <w:tblStyle w:val="TableGrid"/>
        <w:tblW w:type="auto" w:w="0"/>
        <w:jc w:val="center"/>
        <w:tblLook w:firstColumn="1" w:firstRow="1" w:lastColumn="0" w:lastRow="0" w:noHBand="0" w:noVBand="1" w:val="04A0"/>
      </w:tblPr>
      <w:tblGrid>
        <w:gridCol w:w="1882"/>
        <w:gridCol w:w="1882"/>
        <w:gridCol w:w="1882"/>
        <w:gridCol w:w="1882"/>
        <w:gridCol w:w="1882"/>
      </w:tblGrid>
      <w:tr>
        <w:trPr>
          <w:tblHeader w:val="true"/>
        </w:trPr>
        <w:tc>
          <w:tcPr>
            <w:tcW w:type="dxa" w:w="1757"/>
            <w:shd w:val="clear" w:color="auto" w:fill="0F766E"/>
          </w:tcPr>
          <w:p>
            <w:pPr>
              <w:keepNext/>
              <w:spacing w:after="20"/>
            </w:pPr>
            <w:r>
              <w:rPr>
                <w:sz w:val="17"/>
              </w:rPr>
            </w:r>
            <w:r>
              <w:rPr>
                <w:b/>
                <w:color w:val="FFFFFF"/>
                <w:sz w:val="17"/>
              </w:rPr>
              <w:t>Inputs</w:t>
            </w:r>
          </w:p>
        </w:tc>
        <w:tc>
          <w:tcPr>
            <w:tcW w:type="dxa" w:w="1928"/>
            <w:shd w:val="clear" w:color="auto" w:fill="0F766E"/>
          </w:tcPr>
          <w:p>
            <w:pPr>
              <w:keepNext/>
              <w:spacing w:after="20"/>
            </w:pPr>
            <w:r>
              <w:rPr>
                <w:sz w:val="17"/>
              </w:rPr>
            </w:r>
            <w:r>
              <w:rPr>
                <w:b/>
                <w:color w:val="FFFFFF"/>
                <w:sz w:val="17"/>
              </w:rPr>
              <w:t>Activities</w:t>
            </w:r>
          </w:p>
        </w:tc>
        <w:tc>
          <w:tcPr>
            <w:tcW w:type="dxa" w:w="1928"/>
            <w:shd w:val="clear" w:color="auto" w:fill="0F766E"/>
          </w:tcPr>
          <w:p>
            <w:pPr>
              <w:keepNext/>
              <w:spacing w:after="20"/>
            </w:pPr>
            <w:r>
              <w:rPr>
                <w:sz w:val="17"/>
              </w:rPr>
            </w:r>
            <w:r>
              <w:rPr>
                <w:b/>
                <w:color w:val="FFFFFF"/>
                <w:sz w:val="17"/>
              </w:rPr>
              <w:t>Outputs</w:t>
            </w:r>
          </w:p>
        </w:tc>
        <w:tc>
          <w:tcPr>
            <w:tcW w:type="dxa" w:w="1871"/>
            <w:shd w:val="clear" w:color="auto" w:fill="0F766E"/>
          </w:tcPr>
          <w:p>
            <w:pPr>
              <w:keepNext/>
              <w:spacing w:after="20"/>
            </w:pPr>
            <w:r>
              <w:rPr>
                <w:sz w:val="17"/>
              </w:rPr>
            </w:r>
            <w:r>
              <w:rPr>
                <w:b/>
                <w:color w:val="FFFFFF"/>
                <w:sz w:val="17"/>
              </w:rPr>
              <w:t>Outcomes</w:t>
            </w:r>
          </w:p>
        </w:tc>
        <w:tc>
          <w:tcPr>
            <w:tcW w:type="dxa" w:w="1928"/>
            <w:shd w:val="clear" w:color="auto" w:fill="0F766E"/>
          </w:tcPr>
          <w:p>
            <w:pPr>
              <w:keepNext/>
              <w:spacing w:after="20"/>
            </w:pPr>
            <w:r>
              <w:rPr>
                <w:sz w:val="17"/>
              </w:rPr>
            </w:r>
            <w:r>
              <w:rPr>
                <w:b/>
                <w:color w:val="FFFFFF"/>
                <w:sz w:val="17"/>
              </w:rPr>
              <w:t>Impact</w:t>
            </w:r>
          </w:p>
        </w:tc>
      </w:tr>
      <w:tr>
        <w:tc>
          <w:tcPr>
            <w:tcW w:type="dxa" w:w="1757"/>
          </w:tcPr>
          <w:p>
            <w:pPr>
              <w:spacing w:after="20"/>
            </w:pPr>
            <w:r>
              <w:rPr>
                <w:sz w:val="17"/>
              </w:rPr>
            </w:r>
            <w:r>
              <w:rPr>
                <w:sz w:val="17"/>
              </w:rPr>
              <w:t>App, Indian-language content, therapist partners</w:t>
            </w:r>
          </w:p>
        </w:tc>
        <w:tc>
          <w:tcPr>
            <w:tcW w:type="dxa" w:w="1928"/>
          </w:tcPr>
          <w:p>
            <w:pPr>
              <w:spacing w:after="20"/>
            </w:pPr>
            <w:r>
              <w:rPr>
                <w:sz w:val="17"/>
              </w:rPr>
            </w:r>
            <w:r>
              <w:rPr>
                <w:sz w:val="17"/>
              </w:rPr>
              <w:t>Daily guided practice with feedback; therapist oversight</w:t>
            </w:r>
          </w:p>
        </w:tc>
        <w:tc>
          <w:tcPr>
            <w:tcW w:type="dxa" w:w="1928"/>
          </w:tcPr>
          <w:p>
            <w:pPr>
              <w:spacing w:after="20"/>
            </w:pPr>
            <w:r>
              <w:rPr>
                <w:sz w:val="17"/>
              </w:rPr>
            </w:r>
            <w:r>
              <w:rPr>
                <w:sz w:val="17"/>
              </w:rPr>
              <w:t>Practice minutes, attempts, sounds reaching higher levels</w:t>
            </w:r>
          </w:p>
        </w:tc>
        <w:tc>
          <w:tcPr>
            <w:tcW w:type="dxa" w:w="1871"/>
          </w:tcPr>
          <w:p>
            <w:pPr>
              <w:spacing w:after="20"/>
            </w:pPr>
            <w:r>
              <w:rPr>
                <w:sz w:val="17"/>
              </w:rPr>
            </w:r>
            <w:r>
              <w:rPr>
                <w:sz w:val="17"/>
              </w:rPr>
              <w:t>Clearer target sounds; more confident communication</w:t>
            </w:r>
          </w:p>
        </w:tc>
        <w:tc>
          <w:tcPr>
            <w:tcW w:type="dxa" w:w="1928"/>
          </w:tcPr>
          <w:p>
            <w:pPr>
              <w:spacing w:after="20"/>
            </w:pPr>
            <w:r>
              <w:rPr>
                <w:sz w:val="17"/>
              </w:rPr>
            </w:r>
            <w:r>
              <w:rPr>
                <w:sz w:val="17"/>
              </w:rPr>
              <w:t>More children and adults heard and understood, at school, work and home</w:t>
            </w:r>
          </w:p>
        </w:tc>
      </w:tr>
    </w:tbl>
    <w:p/>
    <w:p>
      <w:pPr>
        <w:pStyle w:val="Heading2"/>
      </w:pPr>
      <w:r>
        <w:t>9.3 Impact metrics we will report</w:t>
      </w:r>
    </w:p>
    <w:p>
      <w:pPr>
        <w:pStyle w:val="ListBullet"/>
      </w:pPr>
      <w:r>
        <w:t>Learners reached, split by rural / Tier-2-3 / metro and by language</w:t>
      </w:r>
    </w:p>
    <w:p>
      <w:pPr>
        <w:pStyle w:val="ListBullet"/>
      </w:pPr>
      <w:r>
        <w:t>Practice days per week and minutes per learner</w:t>
      </w:r>
    </w:p>
    <w:p>
      <w:pPr>
        <w:pStyle w:val="ListBullet"/>
      </w:pPr>
      <w:r>
        <w:t>Share of learners who move up at least two levels in 8 weeks (app estimate), confirmed by therapist ratings in pilots</w:t>
      </w:r>
    </w:p>
    <w:p>
      <w:pPr>
        <w:pStyle w:val="ListBullet"/>
      </w:pPr>
      <w:r>
        <w:t>Cost per child per course versus clinic-only care</w:t>
      </w:r>
    </w:p>
    <w:p>
      <w:pPr>
        <w:pStyle w:val="ListBullet"/>
      </w:pPr>
      <w:r>
        <w:t>Therapist caseload served per therapist hour (hybrid model)</w:t>
      </w:r>
    </w:p>
    <w:p>
      <w:pPr>
        <w:pStyle w:val="ListBullet"/>
      </w:pPr>
      <w:r>
        <w:t>Families referred to a therapist after the app suggests it</w:t>
      </w:r>
    </w:p>
    <w:p>
      <w:pPr>
        <w:pStyle w:val="Heading2"/>
      </w:pPr>
      <w:r>
        <w:t>9.4 Sustainability</w:t>
      </w:r>
    </w:p>
    <w:p>
      <w:pPr>
        <w:pStyle w:val="ListBullet"/>
      </w:pPr>
      <w:r>
        <w:rPr>
          <w:b/>
        </w:rPr>
        <w:t xml:space="preserve">Financial: </w:t>
      </w:r>
      <w:r>
        <w:t>high-margin subscriptions plus institutional and CSR seats (CSR rules under Schedule VII of the Companies Act cover health, education and disability), so free access for low-income families is funded by paying segments.</w:t>
      </w:r>
    </w:p>
    <w:p>
      <w:pPr>
        <w:pStyle w:val="ListBullet"/>
      </w:pPr>
      <w:r>
        <w:rPr>
          <w:b/>
        </w:rPr>
        <w:t xml:space="preserve">Government channels: </w:t>
      </w:r>
      <w:r>
        <w:t>RBSK screens children for developmental delays and refers them to District Early Intervention Centres, which include speech therapists (Tamil Nadu alone has 34 DEICs); District Disability Rehabilitation Centres offer speech therapy under the RPwD Act framework [26–28]. SayBetter can extend these teams’ reach between visits.</w:t>
      </w:r>
    </w:p>
    <w:p>
      <w:pPr>
        <w:pStyle w:val="ListBullet"/>
      </w:pPr>
      <w:r>
        <w:rPr>
          <w:b/>
        </w:rPr>
        <w:t xml:space="preserve">Environmental: </w:t>
      </w:r>
      <w:r>
        <w:t>fewer clinic trips for routine practice reduces travel; the analysis runs on small CPU servers, with an on-device version on the roadmap.</w:t>
      </w:r>
    </w:p>
    <w:p>
      <w:pPr>
        <w:pStyle w:val="ListBullet"/>
      </w:pPr>
      <w:r>
        <w:rPr>
          <w:b/>
        </w:rPr>
        <w:t xml:space="preserve">Ethical and legal: </w:t>
      </w:r>
      <w:r>
        <w:t>children’s data requires verifiable parental consent under India’s Digital Personal Data Protection Act, 2023; recordings are not kept by default; no diagnostic claims, to stay outside medical-device regulation until clinically validated.</w:t>
      </w:r>
    </w:p>
    <w:p>
      <w:pPr>
        <w:pStyle w:val="Heading1"/>
      </w:pPr>
      <w:r>
        <w:t>10. Go-to-market</w:t>
      </w:r>
    </w:p>
    <w:tbl>
      <w:tblPr>
        <w:tblStyle w:val="TableGrid"/>
        <w:tblW w:type="auto" w:w="0"/>
        <w:jc w:val="center"/>
        <w:tblLook w:firstColumn="1" w:firstRow="1" w:lastColumn="0" w:lastRow="0" w:noHBand="0" w:noVBand="1" w:val="04A0"/>
      </w:tblPr>
      <w:tblGrid>
        <w:gridCol w:w="2353"/>
        <w:gridCol w:w="2353"/>
        <w:gridCol w:w="2353"/>
        <w:gridCol w:w="2353"/>
      </w:tblGrid>
      <w:tr>
        <w:trPr>
          <w:tblHeader w:val="true"/>
        </w:trPr>
        <w:tc>
          <w:tcPr>
            <w:tcW w:type="dxa" w:w="1474"/>
            <w:shd w:val="clear" w:color="auto" w:fill="0F766E"/>
          </w:tcPr>
          <w:p>
            <w:pPr>
              <w:keepNext/>
              <w:spacing w:after="20"/>
            </w:pPr>
            <w:r>
              <w:rPr>
                <w:sz w:val="18"/>
              </w:rPr>
            </w:r>
            <w:r>
              <w:rPr>
                <w:b/>
                <w:color w:val="FFFFFF"/>
                <w:sz w:val="18"/>
              </w:rPr>
              <w:t>Phase</w:t>
            </w:r>
          </w:p>
        </w:tc>
        <w:tc>
          <w:tcPr>
            <w:tcW w:type="dxa" w:w="1928"/>
            <w:shd w:val="clear" w:color="auto" w:fill="0F766E"/>
          </w:tcPr>
          <w:p>
            <w:pPr>
              <w:keepNext/>
              <w:spacing w:after="20"/>
            </w:pPr>
            <w:r>
              <w:rPr>
                <w:sz w:val="18"/>
              </w:rPr>
            </w:r>
            <w:r>
              <w:rPr>
                <w:b/>
                <w:color w:val="FFFFFF"/>
                <w:sz w:val="18"/>
              </w:rPr>
              <w:t>Focus</w:t>
            </w:r>
          </w:p>
        </w:tc>
        <w:tc>
          <w:tcPr>
            <w:tcW w:type="dxa" w:w="3742"/>
            <w:shd w:val="clear" w:color="auto" w:fill="0F766E"/>
          </w:tcPr>
          <w:p>
            <w:pPr>
              <w:keepNext/>
              <w:spacing w:after="20"/>
            </w:pPr>
            <w:r>
              <w:rPr>
                <w:sz w:val="18"/>
              </w:rPr>
            </w:r>
            <w:r>
              <w:rPr>
                <w:b/>
                <w:color w:val="FFFFFF"/>
                <w:sz w:val="18"/>
              </w:rPr>
              <w:t>Channels</w:t>
            </w:r>
          </w:p>
        </w:tc>
        <w:tc>
          <w:tcPr>
            <w:tcW w:type="dxa" w:w="2268"/>
            <w:shd w:val="clear" w:color="auto" w:fill="0F766E"/>
          </w:tcPr>
          <w:p>
            <w:pPr>
              <w:keepNext/>
              <w:spacing w:after="20"/>
            </w:pPr>
            <w:r>
              <w:rPr>
                <w:sz w:val="18"/>
              </w:rPr>
            </w:r>
            <w:r>
              <w:rPr>
                <w:b/>
                <w:color w:val="FFFFFF"/>
                <w:sz w:val="18"/>
              </w:rPr>
              <w:t>Goal</w:t>
            </w:r>
          </w:p>
        </w:tc>
      </w:tr>
      <w:tr>
        <w:tc>
          <w:tcPr>
            <w:tcW w:type="dxa" w:w="1474"/>
          </w:tcPr>
          <w:p>
            <w:pPr>
              <w:spacing w:after="20"/>
            </w:pPr>
            <w:r>
              <w:rPr>
                <w:sz w:val="18"/>
              </w:rPr>
            </w:r>
            <w:r>
              <w:rPr>
                <w:sz w:val="18"/>
              </w:rPr>
              <w:t>0–6 months</w:t>
            </w:r>
          </w:p>
        </w:tc>
        <w:tc>
          <w:tcPr>
            <w:tcW w:type="dxa" w:w="1928"/>
          </w:tcPr>
          <w:p>
            <w:pPr>
              <w:spacing w:after="20"/>
            </w:pPr>
            <w:r>
              <w:rPr>
                <w:sz w:val="18"/>
              </w:rPr>
            </w:r>
            <w:r>
              <w:rPr>
                <w:sz w:val="18"/>
              </w:rPr>
              <w:t>Tamil Nadu pilot (Tamil)</w:t>
            </w:r>
          </w:p>
        </w:tc>
        <w:tc>
          <w:tcPr>
            <w:tcW w:type="dxa" w:w="3742"/>
          </w:tcPr>
          <w:p>
            <w:pPr>
              <w:spacing w:after="20"/>
            </w:pPr>
            <w:r>
              <w:rPr>
                <w:sz w:val="18"/>
              </w:rPr>
            </w:r>
            <w:r>
              <w:rPr>
                <w:sz w:val="18"/>
              </w:rPr>
              <w:t>2–3 speech-therapy colleges and clinics in Chennai; 1 NGO; school screening camps</w:t>
            </w:r>
          </w:p>
        </w:tc>
        <w:tc>
          <w:tcPr>
            <w:tcW w:type="dxa" w:w="2268"/>
          </w:tcPr>
          <w:p>
            <w:pPr>
              <w:spacing w:after="20"/>
            </w:pPr>
            <w:r>
              <w:rPr>
                <w:sz w:val="18"/>
              </w:rPr>
            </w:r>
            <w:r>
              <w:rPr>
                <w:sz w:val="18"/>
              </w:rPr>
              <w:t>200 learners; usability and accuracy on real speech; 5 therapist partners</w:t>
            </w:r>
          </w:p>
        </w:tc>
      </w:tr>
      <w:tr>
        <w:tc>
          <w:tcPr>
            <w:tcW w:type="dxa" w:w="1474"/>
            <w:shd w:val="clear" w:color="auto" w:fill="F3F0EB"/>
          </w:tcPr>
          <w:p>
            <w:pPr>
              <w:spacing w:after="20"/>
            </w:pPr>
            <w:r>
              <w:rPr>
                <w:sz w:val="18"/>
              </w:rPr>
            </w:r>
            <w:r>
              <w:rPr>
                <w:sz w:val="18"/>
              </w:rPr>
              <w:t>6–18 months</w:t>
            </w:r>
          </w:p>
        </w:tc>
        <w:tc>
          <w:tcPr>
            <w:tcW w:type="dxa" w:w="1928"/>
            <w:shd w:val="clear" w:color="auto" w:fill="F3F0EB"/>
          </w:tcPr>
          <w:p>
            <w:pPr>
              <w:spacing w:after="20"/>
            </w:pPr>
            <w:r>
              <w:rPr>
                <w:sz w:val="18"/>
              </w:rPr>
            </w:r>
            <w:r>
              <w:rPr>
                <w:sz w:val="18"/>
              </w:rPr>
              <w:t>Hindi launch</w:t>
            </w:r>
          </w:p>
        </w:tc>
        <w:tc>
          <w:tcPr>
            <w:tcW w:type="dxa" w:w="3742"/>
            <w:shd w:val="clear" w:color="auto" w:fill="F3F0EB"/>
          </w:tcPr>
          <w:p>
            <w:pPr>
              <w:spacing w:after="20"/>
            </w:pPr>
            <w:r>
              <w:rPr>
                <w:sz w:val="18"/>
              </w:rPr>
            </w:r>
            <w:r>
              <w:rPr>
                <w:sz w:val="18"/>
              </w:rPr>
              <w:t>NGOs and schools in one Hindi-speaking state; CSR sponsor; parent WhatsApp communities</w:t>
            </w:r>
          </w:p>
        </w:tc>
        <w:tc>
          <w:tcPr>
            <w:tcW w:type="dxa" w:w="2268"/>
            <w:shd w:val="clear" w:color="auto" w:fill="F3F0EB"/>
          </w:tcPr>
          <w:p>
            <w:pPr>
              <w:spacing w:after="20"/>
            </w:pPr>
            <w:r>
              <w:rPr>
                <w:sz w:val="18"/>
              </w:rPr>
            </w:r>
            <w:r>
              <w:rPr>
                <w:sz w:val="18"/>
              </w:rPr>
              <w:t>5,000 learners; first paying families and clinics</w:t>
            </w:r>
          </w:p>
        </w:tc>
      </w:tr>
      <w:tr>
        <w:tc>
          <w:tcPr>
            <w:tcW w:type="dxa" w:w="1474"/>
          </w:tcPr>
          <w:p>
            <w:pPr>
              <w:spacing w:after="20"/>
            </w:pPr>
            <w:r>
              <w:rPr>
                <w:sz w:val="18"/>
              </w:rPr>
            </w:r>
            <w:r>
              <w:rPr>
                <w:sz w:val="18"/>
              </w:rPr>
              <w:t>18–36 months</w:t>
            </w:r>
          </w:p>
        </w:tc>
        <w:tc>
          <w:tcPr>
            <w:tcW w:type="dxa" w:w="1928"/>
          </w:tcPr>
          <w:p>
            <w:pPr>
              <w:spacing w:after="20"/>
            </w:pPr>
            <w:r>
              <w:rPr>
                <w:sz w:val="18"/>
              </w:rPr>
            </w:r>
            <w:r>
              <w:rPr>
                <w:sz w:val="18"/>
              </w:rPr>
              <w:t>Scale</w:t>
            </w:r>
          </w:p>
        </w:tc>
        <w:tc>
          <w:tcPr>
            <w:tcW w:type="dxa" w:w="3742"/>
          </w:tcPr>
          <w:p>
            <w:pPr>
              <w:spacing w:after="20"/>
            </w:pPr>
            <w:r>
              <w:rPr>
                <w:sz w:val="18"/>
              </w:rPr>
            </w:r>
            <w:r>
              <w:rPr>
                <w:sz w:val="18"/>
              </w:rPr>
              <w:t>Government DEIC/DDRC pilots; more Indian languages; therapist dashboard</w:t>
            </w:r>
          </w:p>
        </w:tc>
        <w:tc>
          <w:tcPr>
            <w:tcW w:type="dxa" w:w="2268"/>
          </w:tcPr>
          <w:p>
            <w:pPr>
              <w:spacing w:after="20"/>
            </w:pPr>
            <w:r>
              <w:rPr>
                <w:sz w:val="18"/>
              </w:rPr>
            </w:r>
            <w:r>
              <w:rPr>
                <w:sz w:val="18"/>
              </w:rPr>
              <w:t>40,000 paying learners (SOM); institutional contracts</w:t>
            </w:r>
          </w:p>
        </w:tc>
      </w:tr>
    </w:tbl>
    <w:p/>
    <w:p>
      <w:pPr>
        <w:pStyle w:val="Heading1"/>
      </w:pPr>
      <w:r>
        <w:t>11. Risks and mitigation</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3742"/>
            <w:shd w:val="clear" w:color="auto" w:fill="0F766E"/>
          </w:tcPr>
          <w:p>
            <w:pPr>
              <w:keepNext/>
              <w:spacing w:after="20"/>
            </w:pPr>
            <w:r>
              <w:rPr>
                <w:sz w:val="18"/>
              </w:rPr>
            </w:r>
            <w:r>
              <w:rPr>
                <w:b/>
                <w:color w:val="FFFFFF"/>
                <w:sz w:val="18"/>
              </w:rPr>
              <w:t>Risk</w:t>
            </w:r>
          </w:p>
        </w:tc>
        <w:tc>
          <w:tcPr>
            <w:tcW w:type="dxa" w:w="5669"/>
            <w:shd w:val="clear" w:color="auto" w:fill="0F766E"/>
          </w:tcPr>
          <w:p>
            <w:pPr>
              <w:keepNext/>
              <w:spacing w:after="20"/>
            </w:pPr>
            <w:r>
              <w:rPr>
                <w:sz w:val="18"/>
              </w:rPr>
            </w:r>
            <w:r>
              <w:rPr>
                <w:b/>
                <w:color w:val="FFFFFF"/>
                <w:sz w:val="18"/>
              </w:rPr>
              <w:t>Mitigation</w:t>
            </w:r>
          </w:p>
        </w:tc>
      </w:tr>
      <w:tr>
        <w:tc>
          <w:tcPr>
            <w:tcW w:type="dxa" w:w="3742"/>
          </w:tcPr>
          <w:p>
            <w:pPr>
              <w:spacing w:after="20"/>
            </w:pPr>
            <w:r>
              <w:rPr>
                <w:sz w:val="18"/>
              </w:rPr>
            </w:r>
            <w:r>
              <w:rPr>
                <w:sz w:val="18"/>
              </w:rPr>
              <w:t>Accuracy on real children’s speech is lower than on synthetic voices (Tamil ள/ழ are hardest)</w:t>
            </w:r>
          </w:p>
        </w:tc>
        <w:tc>
          <w:tcPr>
            <w:tcW w:type="dxa" w:w="5669"/>
          </w:tcPr>
          <w:p>
            <w:pPr>
              <w:spacing w:after="20"/>
            </w:pPr>
            <w:r>
              <w:rPr>
                <w:sz w:val="18"/>
              </w:rPr>
            </w:r>
            <w:r>
              <w:rPr>
                <w:sz w:val="18"/>
              </w:rPr>
              <w:t>Collect recordings from native speakers in the pilot; publish measured accuracy; app says “not sure” below a confidence threshold</w:t>
            </w:r>
          </w:p>
        </w:tc>
      </w:tr>
      <w:tr>
        <w:tc>
          <w:tcPr>
            <w:tcW w:type="dxa" w:w="3742"/>
            <w:shd w:val="clear" w:color="auto" w:fill="F3F0EB"/>
          </w:tcPr>
          <w:p>
            <w:pPr>
              <w:spacing w:after="20"/>
            </w:pPr>
            <w:r>
              <w:rPr>
                <w:sz w:val="18"/>
              </w:rPr>
            </w:r>
            <w:r>
              <w:rPr>
                <w:sz w:val="18"/>
              </w:rPr>
              <w:t>Clinical credibility</w:t>
            </w:r>
          </w:p>
        </w:tc>
        <w:tc>
          <w:tcPr>
            <w:tcW w:type="dxa" w:w="5669"/>
            <w:shd w:val="clear" w:color="auto" w:fill="F3F0EB"/>
          </w:tcPr>
          <w:p>
            <w:pPr>
              <w:spacing w:after="20"/>
            </w:pPr>
            <w:r>
              <w:rPr>
                <w:sz w:val="18"/>
              </w:rPr>
            </w:r>
            <w:r>
              <w:rPr>
                <w:sz w:val="18"/>
              </w:rPr>
              <w:t>Content reviewed by licensed speech-language pathologists; therapist-in-the-loop model; pilot with outcome measures</w:t>
            </w:r>
          </w:p>
        </w:tc>
      </w:tr>
      <w:tr>
        <w:tc>
          <w:tcPr>
            <w:tcW w:type="dxa" w:w="3742"/>
          </w:tcPr>
          <w:p>
            <w:pPr>
              <w:spacing w:after="20"/>
            </w:pPr>
            <w:r>
              <w:rPr>
                <w:sz w:val="18"/>
              </w:rPr>
            </w:r>
            <w:r>
              <w:rPr>
                <w:sz w:val="18"/>
              </w:rPr>
              <w:t>Regulatory (medical device, data protection)</w:t>
            </w:r>
          </w:p>
        </w:tc>
        <w:tc>
          <w:tcPr>
            <w:tcW w:type="dxa" w:w="5669"/>
          </w:tcPr>
          <w:p>
            <w:pPr>
              <w:spacing w:after="20"/>
            </w:pPr>
            <w:r>
              <w:rPr>
                <w:sz w:val="18"/>
              </w:rPr>
            </w:r>
            <w:r>
              <w:rPr>
                <w:sz w:val="18"/>
              </w:rPr>
              <w:t>Practice-support positioning, no diagnosis; parental consent and data minimisation under the DPDP Act</w:t>
            </w:r>
          </w:p>
        </w:tc>
      </w:tr>
      <w:tr>
        <w:tc>
          <w:tcPr>
            <w:tcW w:type="dxa" w:w="3742"/>
            <w:shd w:val="clear" w:color="auto" w:fill="F3F0EB"/>
          </w:tcPr>
          <w:p>
            <w:pPr>
              <w:spacing w:after="20"/>
            </w:pPr>
            <w:r>
              <w:rPr>
                <w:sz w:val="18"/>
              </w:rPr>
            </w:r>
            <w:r>
              <w:rPr>
                <w:sz w:val="18"/>
              </w:rPr>
              <w:t>Low engagement after the first week</w:t>
            </w:r>
          </w:p>
        </w:tc>
        <w:tc>
          <w:tcPr>
            <w:tcW w:type="dxa" w:w="5669"/>
            <w:shd w:val="clear" w:color="auto" w:fill="F3F0EB"/>
          </w:tcPr>
          <w:p>
            <w:pPr>
              <w:spacing w:after="20"/>
            </w:pPr>
            <w:r>
              <w:rPr>
                <w:sz w:val="18"/>
              </w:rPr>
            </w:r>
            <w:r>
              <w:rPr>
                <w:sz w:val="18"/>
              </w:rPr>
              <w:t>Short daily sessions, streaks, encouraging feedback, therapist and parent nudges</w:t>
            </w:r>
          </w:p>
        </w:tc>
      </w:tr>
      <w:tr>
        <w:tc>
          <w:tcPr>
            <w:tcW w:type="dxa" w:w="3742"/>
          </w:tcPr>
          <w:p>
            <w:pPr>
              <w:spacing w:after="20"/>
            </w:pPr>
            <w:r>
              <w:rPr>
                <w:sz w:val="18"/>
              </w:rPr>
            </w:r>
            <w:r>
              <w:rPr>
                <w:sz w:val="18"/>
              </w:rPr>
              <w:t>Dependence on one AI provider (Sarvam)</w:t>
            </w:r>
          </w:p>
        </w:tc>
        <w:tc>
          <w:tcPr>
            <w:tcW w:type="dxa" w:w="5669"/>
          </w:tcPr>
          <w:p>
            <w:pPr>
              <w:spacing w:after="20"/>
            </w:pPr>
            <w:r>
              <w:rPr>
                <w:sz w:val="18"/>
              </w:rPr>
            </w:r>
            <w:r>
              <w:rPr>
                <w:sz w:val="18"/>
              </w:rPr>
              <w:t>Local phoneme model already runs without Sarvam; engines are swappable</w:t>
            </w:r>
          </w:p>
        </w:tc>
      </w:tr>
      <w:tr>
        <w:tc>
          <w:tcPr>
            <w:tcW w:type="dxa" w:w="3742"/>
            <w:shd w:val="clear" w:color="auto" w:fill="F3F0EB"/>
          </w:tcPr>
          <w:p>
            <w:pPr>
              <w:spacing w:after="20"/>
            </w:pPr>
            <w:r>
              <w:rPr>
                <w:sz w:val="18"/>
              </w:rPr>
            </w:r>
            <w:r>
              <w:rPr>
                <w:sz w:val="18"/>
              </w:rPr>
              <w:t>Willingness to pay in low-income segments</w:t>
            </w:r>
          </w:p>
        </w:tc>
        <w:tc>
          <w:tcPr>
            <w:tcW w:type="dxa" w:w="5669"/>
            <w:shd w:val="clear" w:color="auto" w:fill="F3F0EB"/>
          </w:tcPr>
          <w:p>
            <w:pPr>
              <w:spacing w:after="20"/>
            </w:pPr>
            <w:r>
              <w:rPr>
                <w:sz w:val="18"/>
              </w:rPr>
            </w:r>
            <w:r>
              <w:rPr>
                <w:sz w:val="18"/>
              </w:rPr>
              <w:t>Free tier, CSR- and government-funded seats, low annual price</w:t>
            </w:r>
          </w:p>
        </w:tc>
      </w:tr>
    </w:tbl>
    <w:p/>
    <w:p>
      <w:pPr>
        <w:pStyle w:val="Heading1"/>
      </w:pPr>
      <w:r>
        <w:t>12. SWOT</w:t>
      </w:r>
    </w:p>
    <w:tbl>
      <w:tblPr>
        <w:tblStyle w:val="TableGrid"/>
        <w:tblW w:type="auto" w:w="0"/>
        <w:tblLook w:firstColumn="1" w:firstRow="1" w:lastColumn="0" w:lastRow="0" w:noHBand="0" w:noVBand="1" w:val="04A0"/>
      </w:tblPr>
      <w:tblGrid>
        <w:gridCol w:w="4706"/>
        <w:gridCol w:w="4706"/>
      </w:tblGrid>
      <w:tr>
        <w:trPr>
          <w:cantSplit w:val="true"/>
        </w:trPr>
        <w:tc>
          <w:tcPr>
            <w:tcW w:type="dxa" w:w="4706"/>
            <w:shd w:val="clear" w:color="auto" w:fill="E3F2EF"/>
          </w:tcPr>
          <w:p>
            <w:pPr>
              <w:keepNext/>
            </w:pPr>
            <w:r>
              <w:rPr>
                <w:sz w:val="19"/>
              </w:rPr>
            </w:r>
            <w:r>
              <w:rPr>
                <w:b/>
                <w:sz w:val="19"/>
              </w:rPr>
              <w:t>Strengths</w:t>
              <w:br/>
            </w:r>
            <w:r>
              <w:rPr>
                <w:sz w:val="19"/>
              </w:rPr>
              <w:t>Indian-language speech sounds; sound-level feedback with honest confidence; visual articulation; low cost to serve; working MVP</w:t>
            </w:r>
          </w:p>
        </w:tc>
        <w:tc>
          <w:tcPr>
            <w:tcW w:type="dxa" w:w="4706"/>
            <w:shd w:val="clear" w:color="auto" w:fill="FDF3E2"/>
          </w:tcPr>
          <w:p>
            <w:pPr>
              <w:keepNext/>
            </w:pPr>
            <w:r>
              <w:rPr>
                <w:sz w:val="19"/>
              </w:rPr>
            </w:r>
            <w:r>
              <w:rPr>
                <w:b/>
                <w:sz w:val="19"/>
              </w:rPr>
              <w:t>Weaknesses</w:t>
              <w:br/>
            </w:r>
            <w:r>
              <w:rPr>
                <w:sz w:val="19"/>
              </w:rPr>
              <w:t>Accuracy not yet proven on real learners; content needs clinical review; English interface; small team</w:t>
            </w:r>
          </w:p>
        </w:tc>
      </w:tr>
      <w:tr>
        <w:trPr>
          <w:cantSplit w:val="true"/>
        </w:trPr>
        <w:tc>
          <w:tcPr>
            <w:tcW w:type="dxa" w:w="4706"/>
            <w:shd w:val="clear" w:color="auto" w:fill="E3F2EF"/>
          </w:tcPr>
          <w:p>
            <w:r>
              <w:rPr>
                <w:sz w:val="19"/>
              </w:rPr>
            </w:r>
            <w:r>
              <w:rPr>
                <w:b/>
                <w:sz w:val="19"/>
              </w:rPr>
              <w:t>Opportunities</w:t>
              <w:br/>
            </w:r>
            <w:r>
              <w:rPr>
                <w:sz w:val="19"/>
              </w:rPr>
              <w:t>~3,000 therapists for crores of people; 886 m internet users, 98% using Indic content; RBSK/DEIC and CSR channels; more languages</w:t>
            </w:r>
          </w:p>
        </w:tc>
        <w:tc>
          <w:tcPr>
            <w:tcW w:type="dxa" w:w="4706"/>
            <w:shd w:val="clear" w:color="auto" w:fill="FDF3E2"/>
          </w:tcPr>
          <w:p>
            <w:r>
              <w:rPr>
                <w:sz w:val="19"/>
              </w:rPr>
            </w:r>
            <w:r>
              <w:rPr>
                <w:b/>
                <w:sz w:val="19"/>
              </w:rPr>
              <w:t>Threats</w:t>
              <w:br/>
            </w:r>
            <w:r>
              <w:rPr>
                <w:sz w:val="19"/>
              </w:rPr>
              <w:t>Global apps adding Indian languages; low willingness to pay; regulation if claims overreach; trust in AI feedback</w:t>
            </w:r>
          </w:p>
        </w:tc>
      </w:tr>
    </w:tbl>
    <w:p/>
    <w:p>
      <w:pPr>
        <w:pStyle w:val="Heading1"/>
      </w:pPr>
      <w:r>
        <w:t>13. Primary research to validate this report</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2381"/>
            <w:shd w:val="clear" w:color="auto" w:fill="0F766E"/>
          </w:tcPr>
          <w:p>
            <w:pPr>
              <w:keepNext/>
              <w:spacing w:after="20"/>
            </w:pPr>
            <w:r>
              <w:rPr>
                <w:sz w:val="18"/>
              </w:rPr>
            </w:r>
            <w:r>
              <w:rPr>
                <w:b/>
                <w:color w:val="FFFFFF"/>
                <w:sz w:val="18"/>
              </w:rPr>
              <w:t>Study</w:t>
            </w:r>
          </w:p>
        </w:tc>
        <w:tc>
          <w:tcPr>
            <w:tcW w:type="dxa" w:w="2835"/>
            <w:shd w:val="clear" w:color="auto" w:fill="0F766E"/>
          </w:tcPr>
          <w:p>
            <w:pPr>
              <w:keepNext/>
              <w:spacing w:after="20"/>
            </w:pPr>
            <w:r>
              <w:rPr>
                <w:sz w:val="18"/>
              </w:rPr>
            </w:r>
            <w:r>
              <w:rPr>
                <w:b/>
                <w:color w:val="FFFFFF"/>
                <w:sz w:val="18"/>
              </w:rPr>
              <w:t>Who</w:t>
            </w:r>
          </w:p>
        </w:tc>
        <w:tc>
          <w:tcPr>
            <w:tcW w:type="dxa" w:w="4195"/>
            <w:shd w:val="clear" w:color="auto" w:fill="0F766E"/>
          </w:tcPr>
          <w:p>
            <w:pPr>
              <w:keepNext/>
              <w:spacing w:after="20"/>
            </w:pPr>
            <w:r>
              <w:rPr>
                <w:sz w:val="18"/>
              </w:rPr>
            </w:r>
            <w:r>
              <w:rPr>
                <w:b/>
                <w:color w:val="FFFFFF"/>
                <w:sz w:val="18"/>
              </w:rPr>
              <w:t>What we learn</w:t>
            </w:r>
          </w:p>
        </w:tc>
      </w:tr>
      <w:tr>
        <w:tc>
          <w:tcPr>
            <w:tcW w:type="dxa" w:w="2381"/>
          </w:tcPr>
          <w:p>
            <w:pPr>
              <w:spacing w:after="20"/>
            </w:pPr>
            <w:r>
              <w:rPr>
                <w:sz w:val="18"/>
              </w:rPr>
            </w:r>
            <w:r>
              <w:rPr>
                <w:sz w:val="18"/>
              </w:rPr>
              <w:t>Parent survey (n ≥ 100)</w:t>
            </w:r>
          </w:p>
        </w:tc>
        <w:tc>
          <w:tcPr>
            <w:tcW w:type="dxa" w:w="2835"/>
          </w:tcPr>
          <w:p>
            <w:pPr>
              <w:spacing w:after="20"/>
            </w:pPr>
            <w:r>
              <w:rPr>
                <w:sz w:val="18"/>
              </w:rPr>
            </w:r>
            <w:r>
              <w:rPr>
                <w:sz w:val="18"/>
              </w:rPr>
              <w:t>Parents in Tamil Nadu and one Hindi-speaking state</w:t>
            </w:r>
          </w:p>
        </w:tc>
        <w:tc>
          <w:tcPr>
            <w:tcW w:type="dxa" w:w="4195"/>
          </w:tcPr>
          <w:p>
            <w:pPr>
              <w:spacing w:after="20"/>
            </w:pPr>
            <w:r>
              <w:rPr>
                <w:sz w:val="18"/>
              </w:rPr>
            </w:r>
            <w:r>
              <w:rPr>
                <w:sz w:val="18"/>
              </w:rPr>
              <w:t>How many children have speech-sound concerns; current spending and travel; willingness to pay; phone access</w:t>
            </w:r>
          </w:p>
        </w:tc>
      </w:tr>
      <w:tr>
        <w:tc>
          <w:tcPr>
            <w:tcW w:type="dxa" w:w="2381"/>
            <w:shd w:val="clear" w:color="auto" w:fill="F3F0EB"/>
          </w:tcPr>
          <w:p>
            <w:pPr>
              <w:spacing w:after="20"/>
            </w:pPr>
            <w:r>
              <w:rPr>
                <w:sz w:val="18"/>
              </w:rPr>
            </w:r>
            <w:r>
              <w:rPr>
                <w:sz w:val="18"/>
              </w:rPr>
              <w:t>Therapist interviews (n ≥ 10)</w:t>
            </w:r>
          </w:p>
        </w:tc>
        <w:tc>
          <w:tcPr>
            <w:tcW w:type="dxa" w:w="2835"/>
            <w:shd w:val="clear" w:color="auto" w:fill="F3F0EB"/>
          </w:tcPr>
          <w:p>
            <w:pPr>
              <w:spacing w:after="20"/>
            </w:pPr>
            <w:r>
              <w:rPr>
                <w:sz w:val="18"/>
              </w:rPr>
            </w:r>
            <w:r>
              <w:rPr>
                <w:sz w:val="18"/>
              </w:rPr>
              <w:t>Private and government speech therapists</w:t>
            </w:r>
          </w:p>
        </w:tc>
        <w:tc>
          <w:tcPr>
            <w:tcW w:type="dxa" w:w="4195"/>
            <w:shd w:val="clear" w:color="auto" w:fill="F3F0EB"/>
          </w:tcPr>
          <w:p>
            <w:pPr>
              <w:spacing w:after="20"/>
            </w:pPr>
            <w:r>
              <w:rPr>
                <w:sz w:val="18"/>
              </w:rPr>
            </w:r>
            <w:r>
              <w:rPr>
                <w:sz w:val="18"/>
              </w:rPr>
              <w:t>Caseloads, home-practice compliance, what data they want, whether they would recommend or license the app</w:t>
            </w:r>
          </w:p>
        </w:tc>
      </w:tr>
      <w:tr>
        <w:tc>
          <w:tcPr>
            <w:tcW w:type="dxa" w:w="2381"/>
          </w:tcPr>
          <w:p>
            <w:pPr>
              <w:spacing w:after="20"/>
            </w:pPr>
            <w:r>
              <w:rPr>
                <w:sz w:val="18"/>
              </w:rPr>
            </w:r>
            <w:r>
              <w:rPr>
                <w:sz w:val="18"/>
              </w:rPr>
              <w:t>8-week pilot (n ≈ 30 children)</w:t>
            </w:r>
          </w:p>
        </w:tc>
        <w:tc>
          <w:tcPr>
            <w:tcW w:type="dxa" w:w="2835"/>
          </w:tcPr>
          <w:p>
            <w:pPr>
              <w:spacing w:after="20"/>
            </w:pPr>
            <w:r>
              <w:rPr>
                <w:sz w:val="18"/>
              </w:rPr>
            </w:r>
            <w:r>
              <w:rPr>
                <w:sz w:val="18"/>
              </w:rPr>
              <w:t>Children with a confirmed speech-sound target, with a therapist</w:t>
            </w:r>
          </w:p>
        </w:tc>
        <w:tc>
          <w:tcPr>
            <w:tcW w:type="dxa" w:w="4195"/>
          </w:tcPr>
          <w:p>
            <w:pPr>
              <w:spacing w:after="20"/>
            </w:pPr>
            <w:r>
              <w:rPr>
                <w:sz w:val="18"/>
              </w:rPr>
            </w:r>
            <w:r>
              <w:rPr>
                <w:sz w:val="18"/>
              </w:rPr>
              <w:t>Practice frequency, level progression, therapist-rated improvement, app accuracy vs therapist judgement, SUS score</w:t>
            </w:r>
          </w:p>
        </w:tc>
      </w:tr>
    </w:tbl>
    <w:p/>
    <w:p>
      <w:r>
        <w:rPr>
          <w:b w:val="0"/>
          <w:i w:val="0"/>
          <w:sz w:val="20"/>
        </w:rPr>
        <w:t>Suggested survey questions: Has anyone told you your child has difficulty with certain sounds? Have you seen a speech therapist — how far, how often, how much per session? What stopped you continuing? Would you use a phone app for 10 minutes a day? What would you pay per year? Which language does your child speak at home?</w:t>
      </w:r>
    </w:p>
    <w:p>
      <w:pPr>
        <w:pStyle w:val="Heading1"/>
      </w:pPr>
      <w:r>
        <w:t>Sources</w:t>
      </w:r>
    </w:p>
    <w:p>
      <w:r>
        <w:rPr>
          <w:b w:val="0"/>
          <w:i/>
          <w:color w:val="4A5568"/>
          <w:sz w:val="18"/>
        </w:rPr>
        <w:t>Accessed October 2026. Several figures come from secondary summaries or commercial reports; check the primary documents before final submission.</w:t>
      </w:r>
    </w:p>
    <w:p>
      <w:pPr>
        <w:spacing w:after="40"/>
      </w:pPr>
      <w:r>
        <w:rPr>
          <w:sz w:val="17"/>
        </w:rPr>
        <w:t xml:space="preserve">[1] Census of India 2011 — disability data (summary). </w:t>
      </w:r>
      <w:hyperlink r:id="rId9">
        <w:r>
          <w:rPr>
            <w:color w:val="0F766E"/>
            <w:u w:val="single"/>
            <w:sz w:val="17"/>
          </w:rPr>
          <w:t>https://www.languageinindia.com/jan2014/disabilityinindia2011data.pdf</w:t>
        </w:r>
      </w:hyperlink>
    </w:p>
    <w:p>
      <w:pPr>
        <w:spacing w:after="40"/>
      </w:pPr>
      <w:r>
        <w:rPr>
          <w:sz w:val="17"/>
        </w:rPr>
        <w:t xml:space="preserve">[2] India’s disability estimates: limitations and way forward, PLOS ONE. </w:t>
      </w:r>
      <w:hyperlink r:id="rId10">
        <w:r>
          <w:rPr>
            <w:color w:val="0F766E"/>
            <w:u w:val="single"/>
            <w:sz w:val="17"/>
          </w:rPr>
          <w:t>https://journals.plos.org/plosone/article?id=10.1371%2Fjournal.pone.0222159</w:t>
        </w:r>
      </w:hyperlink>
    </w:p>
    <w:p>
      <w:pPr>
        <w:spacing w:after="40"/>
      </w:pPr>
      <w:r>
        <w:rPr>
          <w:sz w:val="17"/>
        </w:rPr>
        <w:t xml:space="preserve">[3] Economic gradient of onset of disability in India (NSS 76th round). </w:t>
      </w:r>
      <w:hyperlink r:id="rId11">
        <w:r>
          <w:rPr>
            <w:color w:val="0F766E"/>
            <w:u w:val="single"/>
            <w:sz w:val="17"/>
          </w:rPr>
          <w:t>https://www.ncbi.nlm.nih.gov/pmc/articles/PMC8061006/</w:t>
        </w:r>
      </w:hyperlink>
    </w:p>
    <w:p>
      <w:pPr>
        <w:spacing w:after="40"/>
      </w:pPr>
      <w:r>
        <w:rPr>
          <w:sz w:val="17"/>
        </w:rPr>
        <w:t xml:space="preserve">[4] AIISH — school screening report on communication disorders. </w:t>
      </w:r>
      <w:hyperlink r:id="rId12">
        <w:r>
          <w:rPr>
            <w:color w:val="0F766E"/>
            <w:u w:val="single"/>
            <w:sz w:val="17"/>
          </w:rPr>
          <w:t>https://aiishmysore.in/storage/files/full-report-school-screening.pdf</w:t>
        </w:r>
      </w:hyperlink>
    </w:p>
    <w:p>
      <w:pPr>
        <w:spacing w:after="40"/>
      </w:pPr>
      <w:r>
        <w:rPr>
          <w:sz w:val="17"/>
        </w:rPr>
        <w:t xml:space="preserve">[5] Prevalence of speech, language and hearing impairment in rural school children (IJCMPH). </w:t>
      </w:r>
      <w:hyperlink r:id="rId13">
        <w:r>
          <w:rPr>
            <w:color w:val="0F766E"/>
            <w:u w:val="single"/>
            <w:sz w:val="17"/>
          </w:rPr>
          <w:t>https://www.ijcmph.com/index.php/ijcmph/article/download/6885/4327/27568</w:t>
        </w:r>
      </w:hyperlink>
    </w:p>
    <w:p>
      <w:pPr>
        <w:spacing w:after="40"/>
      </w:pPr>
      <w:r>
        <w:rPr>
          <w:sz w:val="17"/>
        </w:rPr>
        <w:t xml:space="preserve">[6] A survey of telepractice in speech-language pathology and audiology in India (JISHA). </w:t>
      </w:r>
      <w:hyperlink r:id="rId14">
        <w:r>
          <w:rPr>
            <w:color w:val="0F766E"/>
            <w:u w:val="single"/>
            <w:sz w:val="17"/>
          </w:rPr>
          <w:t>https://www.ncbi.nlm.nih.gov/pmc/articles/PMC5716619/</w:t>
        </w:r>
      </w:hyperlink>
    </w:p>
    <w:p>
      <w:pPr>
        <w:spacing w:after="40"/>
      </w:pPr>
      <w:r>
        <w:rPr>
          <w:sz w:val="17"/>
        </w:rPr>
        <w:t xml:space="preserve">[7] India needs 10 times the number of audiologists it has (Careers360). </w:t>
      </w:r>
      <w:hyperlink r:id="rId15">
        <w:r>
          <w:rPr>
            <w:color w:val="0F766E"/>
            <w:u w:val="single"/>
            <w:sz w:val="17"/>
          </w:rPr>
          <w:t>https://www.magzter.com/stories/education/Careers-360/INDIA-NEEDS-10-TIMES-THE-NUMBER-OF-AUDIOLOGISTS-IT-HAS</w:t>
        </w:r>
      </w:hyperlink>
    </w:p>
    <w:p>
      <w:pPr>
        <w:spacing w:after="40"/>
      </w:pPr>
      <w:r>
        <w:rPr>
          <w:sz w:val="17"/>
        </w:rPr>
        <w:t xml:space="preserve">[8] Sri Ramachandra — tele-practice for rural speech and hearing services. </w:t>
      </w:r>
      <w:hyperlink r:id="rId16">
        <w:r>
          <w:rPr>
            <w:color w:val="0F766E"/>
            <w:u w:val="single"/>
            <w:sz w:val="17"/>
          </w:rPr>
          <w:t>https://sriramachandra.edu/?p=9435</w:t>
        </w:r>
      </w:hyperlink>
    </w:p>
    <w:p>
      <w:pPr>
        <w:spacing w:after="40"/>
      </w:pPr>
      <w:r>
        <w:rPr>
          <w:sz w:val="17"/>
        </w:rPr>
        <w:t xml:space="preserve">[9] Online speech therapy cost in India — 2026 pricing guide (NeuroNurture). </w:t>
      </w:r>
      <w:hyperlink r:id="rId17">
        <w:r>
          <w:rPr>
            <w:color w:val="0F766E"/>
            <w:u w:val="single"/>
            <w:sz w:val="17"/>
          </w:rPr>
          <w:t>https://neuronurture.com/blog/speech-therapy-cost-india-guide/</w:t>
        </w:r>
      </w:hyperlink>
    </w:p>
    <w:p>
      <w:pPr>
        <w:spacing w:after="40"/>
      </w:pPr>
      <w:r>
        <w:rPr>
          <w:sz w:val="17"/>
        </w:rPr>
        <w:t xml:space="preserve">[10] Treatment intensity of speech intervention via telepractice (EBP brief). </w:t>
      </w:r>
      <w:hyperlink r:id="rId18">
        <w:r>
          <w:rPr>
            <w:color w:val="0F766E"/>
            <w:u w:val="single"/>
            <w:sz w:val="17"/>
          </w:rPr>
          <w:t>https://www.pearsonassessments.com/content/dam/school/global/clinical/us/assets/ebp-briefs/ebp-v15a3.pdf</w:t>
        </w:r>
      </w:hyperlink>
    </w:p>
    <w:p>
      <w:pPr>
        <w:spacing w:after="40"/>
      </w:pPr>
      <w:r>
        <w:rPr>
          <w:sz w:val="17"/>
        </w:rPr>
        <w:t xml:space="preserve">[11] Average cost of speech therapy sessions in India (Sphere Speech &amp; Hearing). </w:t>
      </w:r>
      <w:hyperlink r:id="rId19">
        <w:r>
          <w:rPr>
            <w:color w:val="0F766E"/>
            <w:u w:val="single"/>
            <w:sz w:val="17"/>
          </w:rPr>
          <w:t>https://spherespeechandhearingcare.com/cost-of-speech-therapy/</w:t>
        </w:r>
      </w:hyperlink>
    </w:p>
    <w:p>
      <w:pPr>
        <w:spacing w:after="40"/>
      </w:pPr>
      <w:r>
        <w:rPr>
          <w:sz w:val="17"/>
        </w:rPr>
        <w:t xml:space="preserve">[12] India speech therapy services market outlook 2030 (Grand View Research). </w:t>
      </w:r>
      <w:hyperlink r:id="rId20">
        <w:r>
          <w:rPr>
            <w:color w:val="0F766E"/>
            <w:u w:val="single"/>
            <w:sz w:val="17"/>
          </w:rPr>
          <w:t>https://www.grandviewresearch.com/horizon/outlook/speech-therapy-services-market/india</w:t>
        </w:r>
      </w:hyperlink>
    </w:p>
    <w:p>
      <w:pPr>
        <w:spacing w:after="40"/>
      </w:pPr>
      <w:r>
        <w:rPr>
          <w:sz w:val="17"/>
        </w:rPr>
        <w:t xml:space="preserve">[13] Prevalence of stuttering among school-age children, Dakshina Kannada. </w:t>
      </w:r>
      <w:hyperlink r:id="rId21">
        <w:r>
          <w:rPr>
            <w:color w:val="0F766E"/>
            <w:u w:val="single"/>
            <w:sz w:val="17"/>
          </w:rPr>
          <w:t>https://doaj.org/article/c3f3d4bb57974aaba58bc39c298e5f5f</w:t>
        </w:r>
      </w:hyperlink>
    </w:p>
    <w:p>
      <w:pPr>
        <w:spacing w:after="40"/>
      </w:pPr>
      <w:r>
        <w:rPr>
          <w:sz w:val="17"/>
        </w:rPr>
        <w:t xml:space="preserve">[14] Incidence &amp; prevalence of stroke in India: a systematic review (IJMR); aphasia 21–38% cited in trial protocol NCT07496645. </w:t>
      </w:r>
      <w:hyperlink r:id="rId22">
        <w:r>
          <w:rPr>
            <w:color w:val="0F766E"/>
            <w:u w:val="single"/>
            <w:sz w:val="17"/>
          </w:rPr>
          <w:t>https://ijmr.org.in/incidence-prevalence-of-stroke-in-india-a-systematic-review/</w:t>
        </w:r>
      </w:hyperlink>
    </w:p>
    <w:p>
      <w:pPr>
        <w:spacing w:after="40"/>
      </w:pPr>
      <w:r>
        <w:rPr>
          <w:sz w:val="17"/>
        </w:rPr>
        <w:t xml:space="preserve">[15] NIDCD — nearly 1 in 12 children has a voice, speech, language or swallowing disorder. </w:t>
      </w:r>
      <w:hyperlink r:id="rId23">
        <w:r>
          <w:rPr>
            <w:color w:val="0F766E"/>
            <w:u w:val="single"/>
            <w:sz w:val="17"/>
          </w:rPr>
          <w:t>https://www.nidcd.nih.gov/news/2015/about-1-12-children-has-disorder-related-voice-speech-language-or-swallowing</w:t>
        </w:r>
      </w:hyperlink>
    </w:p>
    <w:p>
      <w:pPr>
        <w:spacing w:after="40"/>
      </w:pPr>
      <w:r>
        <w:rPr>
          <w:sz w:val="17"/>
        </w:rPr>
        <w:t xml:space="preserve">[16] NITI Aayog / NHA — out-of-pocket expenditure 39.4% in 2021-22. </w:t>
      </w:r>
      <w:hyperlink r:id="rId24">
        <w:r>
          <w:rPr>
            <w:color w:val="0F766E"/>
            <w:u w:val="single"/>
            <w:sz w:val="17"/>
          </w:rPr>
          <w:t>https://health.medicaldialogues.in/health/niti-aayog-reports-drop-in-out-of-pocket-health-expenditure-to-394-in-2021-22-135488</w:t>
        </w:r>
      </w:hyperlink>
    </w:p>
    <w:p>
      <w:pPr>
        <w:spacing w:after="40"/>
      </w:pPr>
      <w:r>
        <w:rPr>
          <w:sz w:val="17"/>
        </w:rPr>
        <w:t xml:space="preserve">[17] UNFPA 2024 — India population 144 crore, 24% aged 0–14. </w:t>
      </w:r>
      <w:hyperlink r:id="rId25">
        <w:r>
          <w:rPr>
            <w:color w:val="0F766E"/>
            <w:u w:val="single"/>
            <w:sz w:val="17"/>
          </w:rPr>
          <w:t>https://www.pressreader.com/india/millennium-post-kolkata/20240418/281548000939227</w:t>
        </w:r>
      </w:hyperlink>
    </w:p>
    <w:p>
      <w:pPr>
        <w:spacing w:after="40"/>
      </w:pPr>
      <w:r>
        <w:rPr>
          <w:sz w:val="17"/>
        </w:rPr>
        <w:t xml:space="preserve">[18] Languages of India — Census 2011 speaker counts. </w:t>
      </w:r>
      <w:hyperlink r:id="rId26">
        <w:r>
          <w:rPr>
            <w:color w:val="0F766E"/>
            <w:u w:val="single"/>
            <w:sz w:val="17"/>
          </w:rPr>
          <w:t>https://en.wikipedia.org/wiki/Languages_of_India</w:t>
        </w:r>
      </w:hyperlink>
    </w:p>
    <w:p>
      <w:pPr>
        <w:spacing w:after="40"/>
      </w:pPr>
      <w:r>
        <w:rPr>
          <w:sz w:val="17"/>
        </w:rPr>
        <w:t xml:space="preserve">[19] Speech therapy apps for kids market report (MarketIntelo). </w:t>
      </w:r>
      <w:hyperlink r:id="rId27">
        <w:r>
          <w:rPr>
            <w:color w:val="0F766E"/>
            <w:u w:val="single"/>
            <w:sz w:val="17"/>
          </w:rPr>
          <w:t>https://marketintelo.com/report/speech-therapy-apps-for-kids-market</w:t>
        </w:r>
      </w:hyperlink>
    </w:p>
    <w:p>
      <w:pPr>
        <w:spacing w:after="40"/>
      </w:pPr>
      <w:r>
        <w:rPr>
          <w:sz w:val="17"/>
        </w:rPr>
        <w:t xml:space="preserve">[20] IAMAI–Kantar Internet in India 2024 (via IBEF / MediaNama). </w:t>
      </w:r>
      <w:hyperlink r:id="rId28">
        <w:r>
          <w:rPr>
            <w:color w:val="0F766E"/>
            <w:u w:val="single"/>
            <w:sz w:val="17"/>
          </w:rPr>
          <w:t>https://www.ibef.org/news/india-s-internet-users-to-exceed-900-million-in-2025-driven-by-indic-languages</w:t>
        </w:r>
      </w:hyperlink>
    </w:p>
    <w:p>
      <w:pPr>
        <w:spacing w:after="40"/>
      </w:pPr>
      <w:r>
        <w:rPr>
          <w:sz w:val="17"/>
        </w:rPr>
        <w:t xml:space="preserve">[21] Stamurai — App Store listing (India) and therapy packages. </w:t>
      </w:r>
      <w:hyperlink r:id="rId29">
        <w:r>
          <w:rPr>
            <w:color w:val="0F766E"/>
            <w:u w:val="single"/>
            <w:sz w:val="17"/>
          </w:rPr>
          <w:t>https://www.stamurai.com/personal-therapy/</w:t>
        </w:r>
      </w:hyperlink>
    </w:p>
    <w:p>
      <w:pPr>
        <w:spacing w:after="40"/>
      </w:pPr>
      <w:r>
        <w:rPr>
          <w:sz w:val="17"/>
        </w:rPr>
        <w:t xml:space="preserve">[22] Speech Sounds Visualized — App Store. </w:t>
      </w:r>
      <w:hyperlink r:id="rId30">
        <w:r>
          <w:rPr>
            <w:color w:val="0F766E"/>
            <w:u w:val="single"/>
            <w:sz w:val="17"/>
          </w:rPr>
          <w:t>https://apps.apple.com/us/app/speech-sounds-visualized/id1300151606</w:t>
        </w:r>
      </w:hyperlink>
    </w:p>
    <w:p>
      <w:pPr>
        <w:spacing w:after="40"/>
      </w:pPr>
      <w:r>
        <w:rPr>
          <w:sz w:val="17"/>
        </w:rPr>
        <w:t xml:space="preserve">[23] Pronunciation Coach 3D (icSpeech). </w:t>
      </w:r>
      <w:hyperlink r:id="rId31">
        <w:r>
          <w:rPr>
            <w:color w:val="0F766E"/>
            <w:u w:val="single"/>
            <w:sz w:val="17"/>
          </w:rPr>
          <w:t>https://icspeech.com/pronunciation-coach-3D.html</w:t>
        </w:r>
      </w:hyperlink>
    </w:p>
    <w:p>
      <w:pPr>
        <w:spacing w:after="40"/>
      </w:pPr>
      <w:r>
        <w:rPr>
          <w:sz w:val="17"/>
        </w:rPr>
        <w:t xml:space="preserve">[24] SpeechLP — App Store. </w:t>
      </w:r>
      <w:hyperlink r:id="rId32">
        <w:r>
          <w:rPr>
            <w:color w:val="0F766E"/>
            <w:u w:val="single"/>
            <w:sz w:val="17"/>
          </w:rPr>
          <w:t>https://apps.apple.com/us/app/speechlp-speech-therapy-games/id6752866135</w:t>
        </w:r>
      </w:hyperlink>
    </w:p>
    <w:p>
      <w:pPr>
        <w:spacing w:after="40"/>
      </w:pPr>
      <w:r>
        <w:rPr>
          <w:sz w:val="17"/>
        </w:rPr>
        <w:t xml:space="preserve">[25] Sarvam AI — API pricing. </w:t>
      </w:r>
      <w:hyperlink r:id="rId33">
        <w:r>
          <w:rPr>
            <w:color w:val="0F766E"/>
            <w:u w:val="single"/>
            <w:sz w:val="17"/>
          </w:rPr>
          <w:t>https://docs.sarvam.ai/api-reference-docs/pricing</w:t>
        </w:r>
      </w:hyperlink>
    </w:p>
    <w:p>
      <w:pPr>
        <w:spacing w:after="40"/>
      </w:pPr>
      <w:r>
        <w:rPr>
          <w:sz w:val="17"/>
        </w:rPr>
        <w:t xml:space="preserve">[26] RBSK — District Early Intervention Centre guidelines (MoHFW). </w:t>
      </w:r>
      <w:hyperlink r:id="rId34">
        <w:r>
          <w:rPr>
            <w:color w:val="0F766E"/>
            <w:u w:val="single"/>
            <w:sz w:val="17"/>
          </w:rPr>
          <w:t>https://nhm.hp.gov.in/storage/app/media/uploaded-files/GoI%20DEIC%20guidelines.pdf</w:t>
        </w:r>
      </w:hyperlink>
    </w:p>
    <w:p>
      <w:pPr>
        <w:spacing w:after="40"/>
      </w:pPr>
      <w:r>
        <w:rPr>
          <w:sz w:val="17"/>
        </w:rPr>
        <w:t xml:space="preserve">[27] RBSK in Tamil Nadu (34 DEICs) — NHM Tamil Nadu. </w:t>
      </w:r>
      <w:hyperlink r:id="rId35">
        <w:r>
          <w:rPr>
            <w:color w:val="0F766E"/>
            <w:u w:val="single"/>
            <w:sz w:val="17"/>
          </w:rPr>
          <w:t>https://www.nhm.tn.gov.in/en/nhm-programsrmncha/rashtriya-bal-swasthya-karyakram-rbsk</w:t>
        </w:r>
      </w:hyperlink>
    </w:p>
    <w:p>
      <w:pPr>
        <w:spacing w:after="40"/>
      </w:pPr>
      <w:r>
        <w:rPr>
          <w:sz w:val="17"/>
        </w:rPr>
        <w:t xml:space="preserve">[28] Setting up of District Disability Rehabilitation Centres (scheme from April 2022). </w:t>
      </w:r>
      <w:hyperlink r:id="rId36">
        <w:r>
          <w:rPr>
            <w:color w:val="0F766E"/>
            <w:u w:val="single"/>
            <w:sz w:val="17"/>
          </w:rPr>
          <w:t>https://cdnbbsr.s3waas.gov.in/s3e58aea67b01fa747687f038dfde066f6/uploads/2023/12/202408142124777532.pdf</w:t>
        </w:r>
      </w:hyperlink>
    </w:p>
    <w:p>
      <w:pPr>
        <w:spacing w:after="40"/>
      </w:pPr>
      <w:r>
        <w:rPr>
          <w:sz w:val="17"/>
        </w:rPr>
        <w:t xml:space="preserve">[29] Little Bee Speech — Articulation Station membership pricing. </w:t>
      </w:r>
      <w:hyperlink r:id="rId37">
        <w:r>
          <w:rPr>
            <w:color w:val="0F766E"/>
            <w:u w:val="single"/>
            <w:sz w:val="17"/>
          </w:rPr>
          <w:t>https://www.littlebeespeech.com/blog/what-is-the-little-bee-hive-membership/</w:t>
        </w:r>
      </w:hyperlink>
    </w:p>
    <w:p>
      <w:pPr>
        <w:spacing w:after="40"/>
      </w:pPr>
      <w:r>
        <w:rPr>
          <w:sz w:val="17"/>
        </w:rPr>
        <w:t xml:space="preserve">[30] Best speech therapy software 2026 (includes Speech Blubs pricing; aggregator). </w:t>
      </w:r>
      <w:hyperlink r:id="rId38">
        <w:r>
          <w:rPr>
            <w:color w:val="0F766E"/>
            <w:u w:val="single"/>
            <w:sz w:val="17"/>
          </w:rPr>
          <w:t>https://gitnux.org/best/speech-therapy-software/</w:t>
        </w:r>
      </w:hyperlink>
    </w:p>
    <w:sectPr w:rsidR="00FC693F" w:rsidRPr="0006063C" w:rsidSect="00034616">
      <w:footerReference w:type="default" r:id="rId3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A5568"/>
        <w:sz w:val="16"/>
      </w:rPr>
      <w:t xml:space="preserve">SayBetter AI — Market research   ·   page </w:t>
    </w:r>
    <w:r>
      <w:rPr>
        <w:sz w:val="16"/>
      </w:rPr>
      <w:fldChar w:fldCharType="begin"/>
    </w:r>
    <w:r>
      <w:rPr>
        <w:sz w:val="16"/>
      </w:rPr>
      <w:instrText xml:space="preserve">PAGE</w:instrText>
    </w:r>
    <w:r>
      <w:rPr>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cs="Nirmala UI"/>
      <w:color w:val="1421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0"/>
      <w:outlineLvl w:val="0"/>
    </w:pPr>
    <w:rPr>
      <w:rFonts w:asciiTheme="majorHAnsi" w:eastAsiaTheme="majorEastAsia" w:hAnsiTheme="majorHAnsi" w:cstheme="majorBidi" w:ascii="Calibri" w:hAnsi="Calibri" w:cs="Nirmala UI"/>
      <w:b/>
      <w:bCs/>
      <w:color w:val="0F766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cs="Nirmala UI"/>
      <w:b/>
      <w:bCs/>
      <w:color w:val="0F766E"/>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cs="Nirmala UI"/>
      <w:b/>
      <w:bCs/>
      <w:color w:val="0F766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s="Nirmala UI"/>
      <w:b/>
      <w:color w:val="14213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anguageinindia.com/jan2014/disabilityinindia2011data.pdf" TargetMode="External"/><Relationship Id="rId10" Type="http://schemas.openxmlformats.org/officeDocument/2006/relationships/hyperlink" Target="https://journals.plos.org/plosone/article?id=10.1371%2Fjournal.pone.0222159" TargetMode="External"/><Relationship Id="rId11" Type="http://schemas.openxmlformats.org/officeDocument/2006/relationships/hyperlink" Target="https://www.ncbi.nlm.nih.gov/pmc/articles/PMC8061006/" TargetMode="External"/><Relationship Id="rId12" Type="http://schemas.openxmlformats.org/officeDocument/2006/relationships/hyperlink" Target="https://aiishmysore.in/storage/files/full-report-school-screening.pdf" TargetMode="External"/><Relationship Id="rId13" Type="http://schemas.openxmlformats.org/officeDocument/2006/relationships/hyperlink" Target="https://www.ijcmph.com/index.php/ijcmph/article/download/6885/4327/27568" TargetMode="External"/><Relationship Id="rId14" Type="http://schemas.openxmlformats.org/officeDocument/2006/relationships/hyperlink" Target="https://www.ncbi.nlm.nih.gov/pmc/articles/PMC5716619/" TargetMode="External"/><Relationship Id="rId15" Type="http://schemas.openxmlformats.org/officeDocument/2006/relationships/hyperlink" Target="https://www.magzter.com/stories/education/Careers-360/INDIA-NEEDS-10-TIMES-THE-NUMBER-OF-AUDIOLOGISTS-IT-HAS" TargetMode="External"/><Relationship Id="rId16" Type="http://schemas.openxmlformats.org/officeDocument/2006/relationships/hyperlink" Target="https://sriramachandra.edu/?p=9435" TargetMode="External"/><Relationship Id="rId17" Type="http://schemas.openxmlformats.org/officeDocument/2006/relationships/hyperlink" Target="https://neuronurture.com/blog/speech-therapy-cost-india-guide/" TargetMode="External"/><Relationship Id="rId18" Type="http://schemas.openxmlformats.org/officeDocument/2006/relationships/hyperlink" Target="https://www.pearsonassessments.com/content/dam/school/global/clinical/us/assets/ebp-briefs/ebp-v15a3.pdf" TargetMode="External"/><Relationship Id="rId19" Type="http://schemas.openxmlformats.org/officeDocument/2006/relationships/hyperlink" Target="https://spherespeechandhearingcare.com/cost-of-speech-therapy/" TargetMode="External"/><Relationship Id="rId20" Type="http://schemas.openxmlformats.org/officeDocument/2006/relationships/hyperlink" Target="https://www.grandviewresearch.com/horizon/outlook/speech-therapy-services-market/india" TargetMode="External"/><Relationship Id="rId21" Type="http://schemas.openxmlformats.org/officeDocument/2006/relationships/hyperlink" Target="https://doaj.org/article/c3f3d4bb57974aaba58bc39c298e5f5f" TargetMode="External"/><Relationship Id="rId22" Type="http://schemas.openxmlformats.org/officeDocument/2006/relationships/hyperlink" Target="https://ijmr.org.in/incidence-prevalence-of-stroke-in-india-a-systematic-review/" TargetMode="External"/><Relationship Id="rId23" Type="http://schemas.openxmlformats.org/officeDocument/2006/relationships/hyperlink" Target="https://www.nidcd.nih.gov/news/2015/about-1-12-children-has-disorder-related-voice-speech-language-or-swallowing" TargetMode="External"/><Relationship Id="rId24" Type="http://schemas.openxmlformats.org/officeDocument/2006/relationships/hyperlink" Target="https://health.medicaldialogues.in/health/niti-aayog-reports-drop-in-out-of-pocket-health-expenditure-to-394-in-2021-22-135488" TargetMode="External"/><Relationship Id="rId25" Type="http://schemas.openxmlformats.org/officeDocument/2006/relationships/hyperlink" Target="https://www.pressreader.com/india/millennium-post-kolkata/20240418/281548000939227" TargetMode="External"/><Relationship Id="rId26" Type="http://schemas.openxmlformats.org/officeDocument/2006/relationships/hyperlink" Target="https://en.wikipedia.org/wiki/Languages_of_India" TargetMode="External"/><Relationship Id="rId27" Type="http://schemas.openxmlformats.org/officeDocument/2006/relationships/hyperlink" Target="https://marketintelo.com/report/speech-therapy-apps-for-kids-market" TargetMode="External"/><Relationship Id="rId28" Type="http://schemas.openxmlformats.org/officeDocument/2006/relationships/hyperlink" Target="https://www.ibef.org/news/india-s-internet-users-to-exceed-900-million-in-2025-driven-by-indic-languages" TargetMode="External"/><Relationship Id="rId29" Type="http://schemas.openxmlformats.org/officeDocument/2006/relationships/hyperlink" Target="https://www.stamurai.com/personal-therapy/" TargetMode="External"/><Relationship Id="rId30" Type="http://schemas.openxmlformats.org/officeDocument/2006/relationships/hyperlink" Target="https://apps.apple.com/us/app/speech-sounds-visualized/id1300151606" TargetMode="External"/><Relationship Id="rId31" Type="http://schemas.openxmlformats.org/officeDocument/2006/relationships/hyperlink" Target="https://icspeech.com/pronunciation-coach-3D.html" TargetMode="External"/><Relationship Id="rId32" Type="http://schemas.openxmlformats.org/officeDocument/2006/relationships/hyperlink" Target="https://apps.apple.com/us/app/speechlp-speech-therapy-games/id6752866135" TargetMode="External"/><Relationship Id="rId33" Type="http://schemas.openxmlformats.org/officeDocument/2006/relationships/hyperlink" Target="https://docs.sarvam.ai/api-reference-docs/pricing" TargetMode="External"/><Relationship Id="rId34" Type="http://schemas.openxmlformats.org/officeDocument/2006/relationships/hyperlink" Target="https://nhm.hp.gov.in/storage/app/media/uploaded-files/GoI%20DEIC%20guidelines.pdf" TargetMode="External"/><Relationship Id="rId35" Type="http://schemas.openxmlformats.org/officeDocument/2006/relationships/hyperlink" Target="https://www.nhm.tn.gov.in/en/nhm-programsrmncha/rashtriya-bal-swasthya-karyakram-rbsk" TargetMode="External"/><Relationship Id="rId36" Type="http://schemas.openxmlformats.org/officeDocument/2006/relationships/hyperlink" Target="https://cdnbbsr.s3waas.gov.in/s3e58aea67b01fa747687f038dfde066f6/uploads/2023/12/202408142124777532.pdf" TargetMode="External"/><Relationship Id="rId37" Type="http://schemas.openxmlformats.org/officeDocument/2006/relationships/hyperlink" Target="https://www.littlebeespeech.com/blog/what-is-the-little-bee-hive-membership/" TargetMode="External"/><Relationship Id="rId38" Type="http://schemas.openxmlformats.org/officeDocument/2006/relationships/hyperlink" Target="https://gitnux.org/best/speech-therapy-software/" TargetMode="External"/><Relationship Id="rId3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