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igh-level-design-hld"/>
    <w:p>
      <w:pPr>
        <w:pStyle w:val="Heading1"/>
      </w:pPr>
      <w:r>
        <w:t xml:space="preserve">High Level Design (HLD)</w:t>
      </w:r>
    </w:p>
    <w:bookmarkStart w:id="20" w:name="multi-source-candidate-data-transformer"/>
    <w:p>
      <w:pPr>
        <w:pStyle w:val="Heading2"/>
      </w:pPr>
      <w:r>
        <w:t xml:space="preserve">Multi-Source Candidate Data Transformer</w:t>
      </w:r>
    </w:p>
    <w:p>
      <w:pPr>
        <w:pStyle w:val="FirstParagraph"/>
      </w:pPr>
      <w:r>
        <w:rPr>
          <w:b/>
          <w:bCs/>
        </w:rPr>
        <w:t xml:space="preserve">Version:</w:t>
      </w:r>
      <w:r>
        <w:t xml:space="preserve"> </w:t>
      </w:r>
      <w:r>
        <w:t xml:space="preserve">1.0</w:t>
      </w:r>
      <w:r>
        <w:br/>
      </w:r>
      <w:r>
        <w:rPr>
          <w:b/>
          <w:bCs/>
        </w:rPr>
        <w:t xml:space="preserve">Status:</w:t>
      </w:r>
      <w:r>
        <w:t xml:space="preserve"> </w:t>
      </w:r>
      <w:r>
        <w:t xml:space="preserve">Final</w:t>
      </w:r>
      <w:r>
        <w:br/>
      </w:r>
      <w:r>
        <w:rPr>
          <w:b/>
          <w:bCs/>
        </w:rPr>
        <w:t xml:space="preserve">Author:</w:t>
      </w:r>
      <w:r>
        <w:t xml:space="preserve"> </w:t>
      </w:r>
      <w:r>
        <w:t xml:space="preserve">Sahil Kumar</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high-level architecture of the</w:t>
      </w:r>
      <w:r>
        <w:t xml:space="preserve"> </w:t>
      </w:r>
      <w:r>
        <w:rPr>
          <w:b/>
          <w:bCs/>
        </w:rPr>
        <w:t xml:space="preserve">Multi-Source Candidate Data Transformer</w:t>
      </w:r>
      <w:r>
        <w:t xml:space="preserve">.</w:t>
      </w:r>
    </w:p>
    <w:p>
      <w:pPr>
        <w:pStyle w:val="BodyText"/>
      </w:pPr>
      <w:r>
        <w:t xml:space="preserve">The system transforms heterogeneous candidate information collected from multiple sources into a standardized</w:t>
      </w:r>
      <w:r>
        <w:t xml:space="preserve"> </w:t>
      </w:r>
      <w:r>
        <w:rPr>
          <w:b/>
          <w:bCs/>
        </w:rPr>
        <w:t xml:space="preserve">Golden Candidate Record</w:t>
      </w:r>
      <w:r>
        <w:t xml:space="preserve"> </w:t>
      </w:r>
      <w:r>
        <w:t xml:space="preserve">while ensuring deterministic processing, explainability, modularity, and extensibility.</w:t>
      </w:r>
    </w:p>
    <w:p>
      <w:pPr>
        <w:pStyle w:val="BodyText"/>
      </w:pPr>
      <w:r>
        <w:t xml:space="preserve">This document serves as the architectural blueprint for implementation.</w:t>
      </w:r>
    </w:p>
    <w:p>
      <w:r>
        <w:pict>
          <v:rect style="width:0;height:1.5pt" o:hralign="center" o:hrstd="t" o:hr="t"/>
        </w:pict>
      </w:r>
    </w:p>
    <w:bookmarkEnd w:id="22"/>
    <w:bookmarkStart w:id="26" w:name="scope"/>
    <w:p>
      <w:pPr>
        <w:pStyle w:val="Heading1"/>
      </w:pPr>
      <w:r>
        <w:t xml:space="preserve">2. Scope</w:t>
      </w:r>
    </w:p>
    <w:bookmarkStart w:id="23" w:name="supported-input-sources-mvp"/>
    <w:p>
      <w:pPr>
        <w:pStyle w:val="Heading3"/>
      </w:pPr>
      <w:r>
        <w:t xml:space="preserve">Supported Input Sources (MVP)</w:t>
      </w:r>
    </w:p>
    <w:p>
      <w:pPr>
        <w:pStyle w:val="Compact"/>
        <w:numPr>
          <w:ilvl w:val="0"/>
          <w:numId w:val="1001"/>
        </w:numPr>
      </w:pPr>
      <w:r>
        <w:t xml:space="preserve">ATS JSON (Structured)</w:t>
      </w:r>
    </w:p>
    <w:p>
      <w:pPr>
        <w:pStyle w:val="Compact"/>
        <w:numPr>
          <w:ilvl w:val="0"/>
          <w:numId w:val="1001"/>
        </w:numPr>
      </w:pPr>
      <w:r>
        <w:t xml:space="preserve">Resume PDF (Unstructured)</w:t>
      </w:r>
    </w:p>
    <w:bookmarkEnd w:id="23"/>
    <w:bookmarkStart w:id="24" w:name="output"/>
    <w:p>
      <w:pPr>
        <w:pStyle w:val="Heading3"/>
      </w:pPr>
      <w:r>
        <w:t xml:space="preserve">Output</w:t>
      </w:r>
    </w:p>
    <w:p>
      <w:pPr>
        <w:pStyle w:val="Compact"/>
        <w:numPr>
          <w:ilvl w:val="0"/>
          <w:numId w:val="1002"/>
        </w:numPr>
      </w:pPr>
      <w:r>
        <w:t xml:space="preserve">Golden Candidate JSON</w:t>
      </w:r>
    </w:p>
    <w:bookmarkEnd w:id="24"/>
    <w:bookmarkStart w:id="25" w:name="interface"/>
    <w:p>
      <w:pPr>
        <w:pStyle w:val="Heading3"/>
      </w:pPr>
      <w:r>
        <w:t xml:space="preserve">Interface</w:t>
      </w:r>
    </w:p>
    <w:p>
      <w:pPr>
        <w:pStyle w:val="Compact"/>
        <w:numPr>
          <w:ilvl w:val="0"/>
          <w:numId w:val="1003"/>
        </w:numPr>
      </w:pPr>
      <w:r>
        <w:t xml:space="preserve">Command Line Interface (CLI)</w:t>
      </w:r>
    </w:p>
    <w:p>
      <w:r>
        <w:pict>
          <v:rect style="width:0;height:1.5pt" o:hralign="center" o:hrstd="t" o:hr="t"/>
        </w:pict>
      </w:r>
    </w:p>
    <w:bookmarkEnd w:id="25"/>
    <w:bookmarkEnd w:id="26"/>
    <w:bookmarkStart w:id="27" w:name="architecture-goals"/>
    <w:p>
      <w:pPr>
        <w:pStyle w:val="Heading1"/>
      </w:pPr>
      <w:r>
        <w:t xml:space="preserve">3. Architecture Goals</w:t>
      </w:r>
    </w:p>
    <w:p>
      <w:pPr>
        <w:pStyle w:val="FirstParagraph"/>
      </w:pPr>
      <w:r>
        <w:t xml:space="preserve">The architecture is designed to achieve:</w:t>
      </w:r>
    </w:p>
    <w:p>
      <w:pPr>
        <w:pStyle w:val="Compact"/>
        <w:numPr>
          <w:ilvl w:val="0"/>
          <w:numId w:val="1004"/>
        </w:numPr>
      </w:pPr>
      <w:r>
        <w:t xml:space="preserve">Modular design</w:t>
      </w:r>
    </w:p>
    <w:p>
      <w:pPr>
        <w:pStyle w:val="Compact"/>
        <w:numPr>
          <w:ilvl w:val="0"/>
          <w:numId w:val="1004"/>
        </w:numPr>
      </w:pPr>
      <w:r>
        <w:t xml:space="preserve">Deterministic processing</w:t>
      </w:r>
    </w:p>
    <w:p>
      <w:pPr>
        <w:pStyle w:val="Compact"/>
        <w:numPr>
          <w:ilvl w:val="0"/>
          <w:numId w:val="1004"/>
        </w:numPr>
      </w:pPr>
      <w:r>
        <w:t xml:space="preserve">Explainable transformations</w:t>
      </w:r>
    </w:p>
    <w:p>
      <w:pPr>
        <w:pStyle w:val="Compact"/>
        <w:numPr>
          <w:ilvl w:val="0"/>
          <w:numId w:val="1004"/>
        </w:numPr>
      </w:pPr>
      <w:r>
        <w:t xml:space="preserve">Configuration-driven output</w:t>
      </w:r>
    </w:p>
    <w:p>
      <w:pPr>
        <w:pStyle w:val="Compact"/>
        <w:numPr>
          <w:ilvl w:val="0"/>
          <w:numId w:val="1004"/>
        </w:numPr>
      </w:pPr>
      <w:r>
        <w:t xml:space="preserve">High maintainability</w:t>
      </w:r>
    </w:p>
    <w:p>
      <w:pPr>
        <w:pStyle w:val="Compact"/>
        <w:numPr>
          <w:ilvl w:val="0"/>
          <w:numId w:val="1004"/>
        </w:numPr>
      </w:pPr>
      <w:r>
        <w:t xml:space="preserve">Independent testing</w:t>
      </w:r>
    </w:p>
    <w:p>
      <w:pPr>
        <w:pStyle w:val="Compact"/>
        <w:numPr>
          <w:ilvl w:val="0"/>
          <w:numId w:val="1004"/>
        </w:numPr>
      </w:pPr>
      <w:r>
        <w:t xml:space="preserve">Future extensibility</w:t>
      </w:r>
    </w:p>
    <w:p>
      <w:r>
        <w:pict>
          <v:rect style="width:0;height:1.5pt" o:hralign="center" o:hrstd="t" o:hr="t"/>
        </w:pict>
      </w:r>
    </w:p>
    <w:bookmarkEnd w:id="27"/>
    <w:bookmarkStart w:id="28" w:name="architecture-style"/>
    <w:p>
      <w:pPr>
        <w:pStyle w:val="Heading1"/>
      </w:pPr>
      <w:r>
        <w:t xml:space="preserve">4. Architecture Style</w:t>
      </w:r>
    </w:p>
    <w:p>
      <w:pPr>
        <w:pStyle w:val="FirstParagraph"/>
      </w:pPr>
      <w:r>
        <w:t xml:space="preserve">The system follows a</w:t>
      </w:r>
      <w:r>
        <w:t xml:space="preserve"> </w:t>
      </w:r>
      <w:r>
        <w:rPr>
          <w:b/>
          <w:bCs/>
        </w:rPr>
        <w:t xml:space="preserve">Layered Pipeline Architecture</w:t>
      </w:r>
      <w:r>
        <w:t xml:space="preserve">.</w:t>
      </w:r>
    </w:p>
    <w:p>
      <w:pPr>
        <w:pStyle w:val="BodyText"/>
      </w:pPr>
      <w:r>
        <w:t xml:space="preserve">Each layer owns a single responsibility and communicates only with adjacent layers.</w:t>
      </w:r>
    </w:p>
    <w:p>
      <w:r>
        <w:pict>
          <v:rect style="width:0;height:1.5pt" o:hralign="center" o:hrstd="t" o:hr="t"/>
        </w:pict>
      </w:r>
    </w:p>
    <w:bookmarkEnd w:id="28"/>
    <w:bookmarkStart w:id="29" w:name="high-level-architecture"/>
    <w:p>
      <w:pPr>
        <w:pStyle w:val="Heading1"/>
      </w:pPr>
      <w:r>
        <w:t xml:space="preserve">5. High-Level Architecture</w:t>
      </w:r>
    </w:p>
    <w:p>
      <w:pPr>
        <w:pStyle w:val="SourceCode"/>
      </w:pPr>
      <w:r>
        <w:rPr>
          <w:rStyle w:val="VerbatimChar"/>
        </w:rPr>
        <w:t xml:space="preserve">                ATS JSON</w:t>
      </w:r>
      <w:r>
        <w:br/>
      </w:r>
      <w:r>
        <w:rPr>
          <w:rStyle w:val="VerbatimChar"/>
        </w:rPr>
        <w:t xml:space="preserve">                   │</w:t>
      </w:r>
      <w:r>
        <w:br/>
      </w:r>
      <w:r>
        <w:rPr>
          <w:rStyle w:val="VerbatimChar"/>
        </w:rPr>
        <w:t xml:space="preserve">                   │</w:t>
      </w:r>
      <w:r>
        <w:br/>
      </w:r>
      <w:r>
        <w:rPr>
          <w:rStyle w:val="VerbatimChar"/>
        </w:rPr>
        <w:t xml:space="preserve">             Resume PDF</w:t>
      </w:r>
      <w:r>
        <w:br/>
      </w:r>
      <w:r>
        <w:rPr>
          <w:rStyle w:val="VerbatimChar"/>
        </w:rPr>
        <w:t xml:space="preserve">                   │</w:t>
      </w:r>
      <w:r>
        <w:br/>
      </w:r>
      <w:r>
        <w:rPr>
          <w:rStyle w:val="VerbatimChar"/>
        </w:rPr>
        <w:t xml:space="preserve">                   ▼</w:t>
      </w:r>
      <w:r>
        <w:br/>
      </w:r>
      <w:r>
        <w:rPr>
          <w:rStyle w:val="VerbatimChar"/>
        </w:rPr>
        <w:t xml:space="preserve">          Pipeline Orchestrator</w:t>
      </w:r>
      <w:r>
        <w:br/>
      </w:r>
      <w:r>
        <w:rPr>
          <w:rStyle w:val="VerbatimChar"/>
        </w:rPr>
        <w:t xml:space="preserve">                   │</w:t>
      </w:r>
      <w:r>
        <w:br/>
      </w:r>
      <w:r>
        <w:rPr>
          <w:rStyle w:val="VerbatimChar"/>
        </w:rPr>
        <w:t xml:space="preserve">                   ▼</w:t>
      </w:r>
      <w:r>
        <w:br/>
      </w:r>
      <w:r>
        <w:rPr>
          <w:rStyle w:val="VerbatimChar"/>
        </w:rPr>
        <w:t xml:space="preserve">             Parser Layer</w:t>
      </w:r>
      <w:r>
        <w:br/>
      </w:r>
      <w:r>
        <w:rPr>
          <w:rStyle w:val="VerbatimChar"/>
        </w:rPr>
        <w:t xml:space="preserve">                   │</w:t>
      </w:r>
      <w:r>
        <w:br/>
      </w:r>
      <w:r>
        <w:rPr>
          <w:rStyle w:val="VerbatimChar"/>
        </w:rPr>
        <w:t xml:space="preserve">                   ▼</w:t>
      </w:r>
      <w:r>
        <w:br/>
      </w:r>
      <w:r>
        <w:rPr>
          <w:rStyle w:val="VerbatimChar"/>
        </w:rPr>
        <w:t xml:space="preserve">      Canonical Candidate Model</w:t>
      </w:r>
      <w:r>
        <w:br/>
      </w:r>
      <w:r>
        <w:rPr>
          <w:rStyle w:val="VerbatimChar"/>
        </w:rPr>
        <w:t xml:space="preserve">                   │</w:t>
      </w:r>
      <w:r>
        <w:br/>
      </w:r>
      <w:r>
        <w:rPr>
          <w:rStyle w:val="VerbatimChar"/>
        </w:rPr>
        <w:t xml:space="preserve">                   ▼</w:t>
      </w:r>
      <w:r>
        <w:br/>
      </w:r>
      <w:r>
        <w:rPr>
          <w:rStyle w:val="VerbatimChar"/>
        </w:rPr>
        <w:t xml:space="preserve">        Normalization Engine</w:t>
      </w:r>
      <w:r>
        <w:br/>
      </w:r>
      <w:r>
        <w:rPr>
          <w:rStyle w:val="VerbatimChar"/>
        </w:rPr>
        <w:t xml:space="preserve">                   │</w:t>
      </w:r>
      <w:r>
        <w:br/>
      </w:r>
      <w:r>
        <w:rPr>
          <w:rStyle w:val="VerbatimChar"/>
        </w:rPr>
        <w:t xml:space="preserve">                   ▼</w:t>
      </w:r>
      <w:r>
        <w:br/>
      </w:r>
      <w:r>
        <w:rPr>
          <w:rStyle w:val="VerbatimChar"/>
        </w:rPr>
        <w:t xml:space="preserve">            Merge Engine</w:t>
      </w:r>
      <w:r>
        <w:br/>
      </w:r>
      <w:r>
        <w:rPr>
          <w:rStyle w:val="VerbatimChar"/>
        </w:rPr>
        <w:t xml:space="preserve">                   │</w:t>
      </w:r>
      <w:r>
        <w:br/>
      </w:r>
      <w:r>
        <w:rPr>
          <w:rStyle w:val="VerbatimChar"/>
        </w:rPr>
        <w:t xml:space="preserve">                   ▼</w:t>
      </w:r>
      <w:r>
        <w:br/>
      </w:r>
      <w:r>
        <w:rPr>
          <w:rStyle w:val="VerbatimChar"/>
        </w:rPr>
        <w:t xml:space="preserve">        Confidence Engine</w:t>
      </w:r>
      <w:r>
        <w:br/>
      </w:r>
      <w:r>
        <w:rPr>
          <w:rStyle w:val="VerbatimChar"/>
        </w:rPr>
        <w:t xml:space="preserve">                   │</w:t>
      </w:r>
      <w:r>
        <w:br/>
      </w:r>
      <w:r>
        <w:rPr>
          <w:rStyle w:val="VerbatimChar"/>
        </w:rPr>
        <w:t xml:space="preserve">                   ▼</w:t>
      </w:r>
      <w:r>
        <w:br/>
      </w:r>
      <w:r>
        <w:rPr>
          <w:rStyle w:val="VerbatimChar"/>
        </w:rPr>
        <w:t xml:space="preserve">         Validation Layer</w:t>
      </w:r>
      <w:r>
        <w:br/>
      </w:r>
      <w:r>
        <w:rPr>
          <w:rStyle w:val="VerbatimChar"/>
        </w:rPr>
        <w:t xml:space="preserve">                   │</w:t>
      </w:r>
      <w:r>
        <w:br/>
      </w:r>
      <w:r>
        <w:rPr>
          <w:rStyle w:val="VerbatimChar"/>
        </w:rPr>
        <w:t xml:space="preserve">                   ▼</w:t>
      </w:r>
      <w:r>
        <w:br/>
      </w:r>
      <w:r>
        <w:rPr>
          <w:rStyle w:val="VerbatimChar"/>
        </w:rPr>
        <w:t xml:space="preserve">         Projection Engine</w:t>
      </w:r>
      <w:r>
        <w:br/>
      </w:r>
      <w:r>
        <w:rPr>
          <w:rStyle w:val="VerbatimChar"/>
        </w:rPr>
        <w:t xml:space="preserve">                   │</w:t>
      </w:r>
      <w:r>
        <w:br/>
      </w:r>
      <w:r>
        <w:rPr>
          <w:rStyle w:val="VerbatimChar"/>
        </w:rPr>
        <w:t xml:space="preserve">                   ▼</w:t>
      </w:r>
      <w:r>
        <w:br/>
      </w:r>
      <w:r>
        <w:rPr>
          <w:rStyle w:val="VerbatimChar"/>
        </w:rPr>
        <w:t xml:space="preserve">            Output Writer</w:t>
      </w:r>
      <w:r>
        <w:br/>
      </w:r>
      <w:r>
        <w:rPr>
          <w:rStyle w:val="VerbatimChar"/>
        </w:rPr>
        <w:t xml:space="preserve">                   │</w:t>
      </w:r>
      <w:r>
        <w:br/>
      </w:r>
      <w:r>
        <w:rPr>
          <w:rStyle w:val="VerbatimChar"/>
        </w:rPr>
        <w:t xml:space="preserve">                   ▼</w:t>
      </w:r>
      <w:r>
        <w:br/>
      </w:r>
      <w:r>
        <w:rPr>
          <w:rStyle w:val="VerbatimChar"/>
        </w:rPr>
        <w:t xml:space="preserve">      Golden Candidate Record</w:t>
      </w:r>
    </w:p>
    <w:p>
      <w:pPr>
        <w:pStyle w:val="FirstParagraph"/>
      </w:pPr>
      <w:r>
        <w:t xml:space="preserve">Supporting Components</w:t>
      </w:r>
    </w:p>
    <w:p>
      <w:pPr>
        <w:pStyle w:val="Compact"/>
        <w:numPr>
          <w:ilvl w:val="0"/>
          <w:numId w:val="1005"/>
        </w:numPr>
      </w:pPr>
      <w:r>
        <w:t xml:space="preserve">Configuration</w:t>
      </w:r>
    </w:p>
    <w:p>
      <w:pPr>
        <w:pStyle w:val="Compact"/>
        <w:numPr>
          <w:ilvl w:val="0"/>
          <w:numId w:val="1005"/>
        </w:numPr>
      </w:pPr>
      <w:r>
        <w:t xml:space="preserve">Logging</w:t>
      </w:r>
    </w:p>
    <w:p>
      <w:pPr>
        <w:pStyle w:val="Compact"/>
        <w:numPr>
          <w:ilvl w:val="0"/>
          <w:numId w:val="1005"/>
        </w:numPr>
      </w:pPr>
      <w:r>
        <w:t xml:space="preserve">Error Handling</w:t>
      </w:r>
    </w:p>
    <w:p>
      <w:pPr>
        <w:pStyle w:val="FirstParagraph"/>
      </w:pPr>
      <w:r>
        <w:t xml:space="preserve">Future Extensions</w:t>
      </w:r>
    </w:p>
    <w:p>
      <w:pPr>
        <w:pStyle w:val="Compact"/>
        <w:numPr>
          <w:ilvl w:val="0"/>
          <w:numId w:val="1006"/>
        </w:numPr>
      </w:pPr>
      <w:r>
        <w:t xml:space="preserve">GitHub Parser</w:t>
      </w:r>
    </w:p>
    <w:p>
      <w:pPr>
        <w:pStyle w:val="Compact"/>
        <w:numPr>
          <w:ilvl w:val="0"/>
          <w:numId w:val="1006"/>
        </w:numPr>
      </w:pPr>
      <w:r>
        <w:t xml:space="preserve">LinkedIn Parser</w:t>
      </w:r>
    </w:p>
    <w:p>
      <w:pPr>
        <w:pStyle w:val="Compact"/>
        <w:numPr>
          <w:ilvl w:val="0"/>
          <w:numId w:val="1006"/>
        </w:numPr>
      </w:pPr>
      <w:r>
        <w:t xml:space="preserve">Recruiter Notes Parser</w:t>
      </w:r>
    </w:p>
    <w:p>
      <w:r>
        <w:pict>
          <v:rect style="width:0;height:1.5pt" o:hralign="center" o:hrstd="t" o:hr="t"/>
        </w:pict>
      </w:r>
    </w:p>
    <w:bookmarkEnd w:id="29"/>
    <w:bookmarkStart w:id="40" w:name="component-responsibilities"/>
    <w:p>
      <w:pPr>
        <w:pStyle w:val="Heading1"/>
      </w:pPr>
      <w:r>
        <w:t xml:space="preserve">6. Component Responsibilities</w:t>
      </w:r>
    </w:p>
    <w:bookmarkStart w:id="30" w:name="cli"/>
    <w:p>
      <w:pPr>
        <w:pStyle w:val="Heading2"/>
      </w:pPr>
      <w:r>
        <w:t xml:space="preserve">CLI</w:t>
      </w:r>
    </w:p>
    <w:p>
      <w:pPr>
        <w:pStyle w:val="FirstParagraph"/>
      </w:pPr>
      <w:r>
        <w:t xml:space="preserve">Responsibilities</w:t>
      </w:r>
    </w:p>
    <w:p>
      <w:pPr>
        <w:pStyle w:val="Compact"/>
        <w:numPr>
          <w:ilvl w:val="0"/>
          <w:numId w:val="1007"/>
        </w:numPr>
      </w:pPr>
      <w:r>
        <w:t xml:space="preserve">Accept runtime arguments</w:t>
      </w:r>
    </w:p>
    <w:p>
      <w:pPr>
        <w:pStyle w:val="Compact"/>
        <w:numPr>
          <w:ilvl w:val="0"/>
          <w:numId w:val="1007"/>
        </w:numPr>
      </w:pPr>
      <w:r>
        <w:t xml:space="preserve">Start pipeline</w:t>
      </w:r>
    </w:p>
    <w:p>
      <w:pPr>
        <w:pStyle w:val="Compact"/>
        <w:numPr>
          <w:ilvl w:val="0"/>
          <w:numId w:val="1007"/>
        </w:numPr>
      </w:pPr>
      <w:r>
        <w:t xml:space="preserve">Display execution status</w:t>
      </w:r>
    </w:p>
    <w:p>
      <w:r>
        <w:pict>
          <v:rect style="width:0;height:1.5pt" o:hralign="center" o:hrstd="t" o:hr="t"/>
        </w:pict>
      </w:r>
    </w:p>
    <w:bookmarkEnd w:id="30"/>
    <w:bookmarkStart w:id="31" w:name="pipeline-orchestrator"/>
    <w:p>
      <w:pPr>
        <w:pStyle w:val="Heading2"/>
      </w:pPr>
      <w:r>
        <w:t xml:space="preserve">Pipeline Orchestrator</w:t>
      </w:r>
    </w:p>
    <w:p>
      <w:pPr>
        <w:pStyle w:val="FirstParagraph"/>
      </w:pPr>
      <w:r>
        <w:t xml:space="preserve">Responsibilities</w:t>
      </w:r>
    </w:p>
    <w:p>
      <w:pPr>
        <w:pStyle w:val="Compact"/>
        <w:numPr>
          <w:ilvl w:val="0"/>
          <w:numId w:val="1008"/>
        </w:numPr>
      </w:pPr>
      <w:r>
        <w:t xml:space="preserve">Execute pipeline stages</w:t>
      </w:r>
    </w:p>
    <w:p>
      <w:pPr>
        <w:pStyle w:val="Compact"/>
        <w:numPr>
          <w:ilvl w:val="0"/>
          <w:numId w:val="1008"/>
        </w:numPr>
      </w:pPr>
      <w:r>
        <w:t xml:space="preserve">Coordinate workflow</w:t>
      </w:r>
    </w:p>
    <w:p>
      <w:pPr>
        <w:pStyle w:val="Compact"/>
        <w:numPr>
          <w:ilvl w:val="0"/>
          <w:numId w:val="1008"/>
        </w:numPr>
      </w:pPr>
      <w:r>
        <w:t xml:space="preserve">Handle failures</w:t>
      </w:r>
    </w:p>
    <w:p>
      <w:pPr>
        <w:pStyle w:val="Compact"/>
        <w:numPr>
          <w:ilvl w:val="0"/>
          <w:numId w:val="1008"/>
        </w:numPr>
      </w:pPr>
      <w:r>
        <w:t xml:space="preserve">Produce final result</w:t>
      </w:r>
    </w:p>
    <w:p>
      <w:r>
        <w:pict>
          <v:rect style="width:0;height:1.5pt" o:hralign="center" o:hrstd="t" o:hr="t"/>
        </w:pict>
      </w:r>
    </w:p>
    <w:bookmarkEnd w:id="31"/>
    <w:bookmarkStart w:id="32" w:name="parser-layer"/>
    <w:p>
      <w:pPr>
        <w:pStyle w:val="Heading2"/>
      </w:pPr>
      <w:r>
        <w:t xml:space="preserve">Parser Layer</w:t>
      </w:r>
    </w:p>
    <w:p>
      <w:pPr>
        <w:pStyle w:val="FirstParagraph"/>
      </w:pPr>
      <w:r>
        <w:t xml:space="preserve">Responsibilities</w:t>
      </w:r>
    </w:p>
    <w:p>
      <w:pPr>
        <w:pStyle w:val="Compact"/>
        <w:numPr>
          <w:ilvl w:val="0"/>
          <w:numId w:val="1009"/>
        </w:numPr>
      </w:pPr>
      <w:r>
        <w:t xml:space="preserve">Parse ATS JSON</w:t>
      </w:r>
    </w:p>
    <w:p>
      <w:pPr>
        <w:pStyle w:val="Compact"/>
        <w:numPr>
          <w:ilvl w:val="0"/>
          <w:numId w:val="1009"/>
        </w:numPr>
      </w:pPr>
      <w:r>
        <w:t xml:space="preserve">Extract Resume information</w:t>
      </w:r>
    </w:p>
    <w:p>
      <w:pPr>
        <w:pStyle w:val="Compact"/>
        <w:numPr>
          <w:ilvl w:val="0"/>
          <w:numId w:val="1009"/>
        </w:numPr>
      </w:pPr>
      <w:r>
        <w:t xml:space="preserve">Convert source data into internal representation</w:t>
      </w:r>
    </w:p>
    <w:p>
      <w:r>
        <w:pict>
          <v:rect style="width:0;height:1.5pt" o:hralign="center" o:hrstd="t" o:hr="t"/>
        </w:pict>
      </w:r>
    </w:p>
    <w:bookmarkEnd w:id="32"/>
    <w:bookmarkStart w:id="33" w:name="canonical-candidate-model"/>
    <w:p>
      <w:pPr>
        <w:pStyle w:val="Heading2"/>
      </w:pPr>
      <w:r>
        <w:t xml:space="preserve">Canonical Candidate Model</w:t>
      </w:r>
    </w:p>
    <w:p>
      <w:pPr>
        <w:pStyle w:val="FirstParagraph"/>
      </w:pPr>
      <w:r>
        <w:t xml:space="preserve">Responsibilities</w:t>
      </w:r>
    </w:p>
    <w:p>
      <w:pPr>
        <w:pStyle w:val="Compact"/>
        <w:numPr>
          <w:ilvl w:val="0"/>
          <w:numId w:val="1010"/>
        </w:numPr>
      </w:pPr>
      <w:r>
        <w:t xml:space="preserve">Unified internal schema</w:t>
      </w:r>
    </w:p>
    <w:p>
      <w:pPr>
        <w:pStyle w:val="Compact"/>
        <w:numPr>
          <w:ilvl w:val="0"/>
          <w:numId w:val="1010"/>
        </w:numPr>
      </w:pPr>
      <w:r>
        <w:t xml:space="preserve">Source-independent representation</w:t>
      </w:r>
    </w:p>
    <w:p>
      <w:pPr>
        <w:pStyle w:val="Compact"/>
        <w:numPr>
          <w:ilvl w:val="0"/>
          <w:numId w:val="1010"/>
        </w:numPr>
      </w:pPr>
      <w:r>
        <w:t xml:space="preserve">Input to downstream layers</w:t>
      </w:r>
    </w:p>
    <w:p>
      <w:r>
        <w:pict>
          <v:rect style="width:0;height:1.5pt" o:hralign="center" o:hrstd="t" o:hr="t"/>
        </w:pict>
      </w:r>
    </w:p>
    <w:bookmarkEnd w:id="33"/>
    <w:bookmarkStart w:id="34" w:name="normalization-engine"/>
    <w:p>
      <w:pPr>
        <w:pStyle w:val="Heading2"/>
      </w:pPr>
      <w:r>
        <w:t xml:space="preserve">Normalization Engine</w:t>
      </w:r>
    </w:p>
    <w:p>
      <w:pPr>
        <w:pStyle w:val="FirstParagraph"/>
      </w:pPr>
      <w:r>
        <w:t xml:space="preserve">Responsibilities</w:t>
      </w:r>
    </w:p>
    <w:p>
      <w:pPr>
        <w:pStyle w:val="Compact"/>
        <w:numPr>
          <w:ilvl w:val="0"/>
          <w:numId w:val="1011"/>
        </w:numPr>
      </w:pPr>
      <w:r>
        <w:t xml:space="preserve">Standardize emails</w:t>
      </w:r>
    </w:p>
    <w:p>
      <w:pPr>
        <w:pStyle w:val="Compact"/>
        <w:numPr>
          <w:ilvl w:val="0"/>
          <w:numId w:val="1011"/>
        </w:numPr>
      </w:pPr>
      <w:r>
        <w:t xml:space="preserve">Standardize phone numbers</w:t>
      </w:r>
    </w:p>
    <w:p>
      <w:pPr>
        <w:pStyle w:val="Compact"/>
        <w:numPr>
          <w:ilvl w:val="0"/>
          <w:numId w:val="1011"/>
        </w:numPr>
      </w:pPr>
      <w:r>
        <w:t xml:space="preserve">Normalize names</w:t>
      </w:r>
    </w:p>
    <w:p>
      <w:pPr>
        <w:pStyle w:val="Compact"/>
        <w:numPr>
          <w:ilvl w:val="0"/>
          <w:numId w:val="1011"/>
        </w:numPr>
      </w:pPr>
      <w:r>
        <w:t xml:space="preserve">Normalize dates</w:t>
      </w:r>
    </w:p>
    <w:p>
      <w:pPr>
        <w:pStyle w:val="Compact"/>
        <w:numPr>
          <w:ilvl w:val="0"/>
          <w:numId w:val="1011"/>
        </w:numPr>
      </w:pPr>
      <w:r>
        <w:t xml:space="preserve">Deduplicate skills</w:t>
      </w:r>
    </w:p>
    <w:p>
      <w:r>
        <w:pict>
          <v:rect style="width:0;height:1.5pt" o:hralign="center" o:hrstd="t" o:hr="t"/>
        </w:pict>
      </w:r>
    </w:p>
    <w:bookmarkEnd w:id="34"/>
    <w:bookmarkStart w:id="35" w:name="merge-engine"/>
    <w:p>
      <w:pPr>
        <w:pStyle w:val="Heading2"/>
      </w:pPr>
      <w:r>
        <w:t xml:space="preserve">Merge Engine</w:t>
      </w:r>
    </w:p>
    <w:p>
      <w:pPr>
        <w:pStyle w:val="FirstParagraph"/>
      </w:pPr>
      <w:r>
        <w:t xml:space="preserve">Responsibilities</w:t>
      </w:r>
    </w:p>
    <w:p>
      <w:pPr>
        <w:pStyle w:val="Compact"/>
        <w:numPr>
          <w:ilvl w:val="0"/>
          <w:numId w:val="1012"/>
        </w:numPr>
      </w:pPr>
      <w:r>
        <w:t xml:space="preserve">Resolve conflicts</w:t>
      </w:r>
    </w:p>
    <w:p>
      <w:pPr>
        <w:pStyle w:val="Compact"/>
        <w:numPr>
          <w:ilvl w:val="0"/>
          <w:numId w:val="1012"/>
        </w:numPr>
      </w:pPr>
      <w:r>
        <w:t xml:space="preserve">Apply deterministic merge policy</w:t>
      </w:r>
    </w:p>
    <w:p>
      <w:pPr>
        <w:pStyle w:val="Compact"/>
        <w:numPr>
          <w:ilvl w:val="0"/>
          <w:numId w:val="1012"/>
        </w:numPr>
      </w:pPr>
      <w:r>
        <w:t xml:space="preserve">Track provenance</w:t>
      </w:r>
    </w:p>
    <w:p>
      <w:pPr>
        <w:pStyle w:val="Compact"/>
        <w:numPr>
          <w:ilvl w:val="0"/>
          <w:numId w:val="1012"/>
        </w:numPr>
      </w:pPr>
      <w:r>
        <w:t xml:space="preserve">Produce Golden Candidate Record</w:t>
      </w:r>
    </w:p>
    <w:p>
      <w:r>
        <w:pict>
          <v:rect style="width:0;height:1.5pt" o:hralign="center" o:hrstd="t" o:hr="t"/>
        </w:pict>
      </w:r>
    </w:p>
    <w:bookmarkEnd w:id="35"/>
    <w:bookmarkStart w:id="36" w:name="confidence-engine"/>
    <w:p>
      <w:pPr>
        <w:pStyle w:val="Heading2"/>
      </w:pPr>
      <w:r>
        <w:t xml:space="preserve">Confidence Engine</w:t>
      </w:r>
    </w:p>
    <w:p>
      <w:pPr>
        <w:pStyle w:val="FirstParagraph"/>
      </w:pPr>
      <w:r>
        <w:t xml:space="preserve">Responsibilities</w:t>
      </w:r>
    </w:p>
    <w:p>
      <w:pPr>
        <w:pStyle w:val="Compact"/>
        <w:numPr>
          <w:ilvl w:val="0"/>
          <w:numId w:val="1013"/>
        </w:numPr>
      </w:pPr>
      <w:r>
        <w:t xml:space="preserve">Calculate field confidence</w:t>
      </w:r>
    </w:p>
    <w:p>
      <w:pPr>
        <w:pStyle w:val="Compact"/>
        <w:numPr>
          <w:ilvl w:val="0"/>
          <w:numId w:val="1013"/>
        </w:numPr>
      </w:pPr>
      <w:r>
        <w:t xml:space="preserve">Calculate overall confidence</w:t>
      </w:r>
    </w:p>
    <w:p>
      <w:pPr>
        <w:pStyle w:val="Compact"/>
        <w:numPr>
          <w:ilvl w:val="0"/>
          <w:numId w:val="1013"/>
        </w:numPr>
      </w:pPr>
      <w:r>
        <w:t xml:space="preserve">Preserve explainability</w:t>
      </w:r>
    </w:p>
    <w:p>
      <w:r>
        <w:pict>
          <v:rect style="width:0;height:1.5pt" o:hralign="center" o:hrstd="t" o:hr="t"/>
        </w:pict>
      </w:r>
    </w:p>
    <w:bookmarkEnd w:id="36"/>
    <w:bookmarkStart w:id="37" w:name="validation-layer"/>
    <w:p>
      <w:pPr>
        <w:pStyle w:val="Heading2"/>
      </w:pPr>
      <w:r>
        <w:t xml:space="preserve">Validation Layer</w:t>
      </w:r>
    </w:p>
    <w:p>
      <w:pPr>
        <w:pStyle w:val="FirstParagraph"/>
      </w:pPr>
      <w:r>
        <w:t xml:space="preserve">Responsibilities</w:t>
      </w:r>
    </w:p>
    <w:p>
      <w:pPr>
        <w:pStyle w:val="Compact"/>
        <w:numPr>
          <w:ilvl w:val="0"/>
          <w:numId w:val="1014"/>
        </w:numPr>
      </w:pPr>
      <w:r>
        <w:t xml:space="preserve">Validate input</w:t>
      </w:r>
    </w:p>
    <w:p>
      <w:pPr>
        <w:pStyle w:val="Compact"/>
        <w:numPr>
          <w:ilvl w:val="0"/>
          <w:numId w:val="1014"/>
        </w:numPr>
      </w:pPr>
      <w:r>
        <w:t xml:space="preserve">Validate canonical model</w:t>
      </w:r>
    </w:p>
    <w:p>
      <w:pPr>
        <w:pStyle w:val="Compact"/>
        <w:numPr>
          <w:ilvl w:val="0"/>
          <w:numId w:val="1014"/>
        </w:numPr>
      </w:pPr>
      <w:r>
        <w:t xml:space="preserve">Validate output schema</w:t>
      </w:r>
    </w:p>
    <w:p>
      <w:r>
        <w:pict>
          <v:rect style="width:0;height:1.5pt" o:hralign="center" o:hrstd="t" o:hr="t"/>
        </w:pict>
      </w:r>
    </w:p>
    <w:bookmarkEnd w:id="37"/>
    <w:bookmarkStart w:id="38" w:name="projection-engine"/>
    <w:p>
      <w:pPr>
        <w:pStyle w:val="Heading2"/>
      </w:pPr>
      <w:r>
        <w:t xml:space="preserve">Projection Engine</w:t>
      </w:r>
    </w:p>
    <w:p>
      <w:pPr>
        <w:pStyle w:val="FirstParagraph"/>
      </w:pPr>
      <w:r>
        <w:t xml:space="preserve">Responsibilities</w:t>
      </w:r>
    </w:p>
    <w:p>
      <w:pPr>
        <w:pStyle w:val="Compact"/>
        <w:numPr>
          <w:ilvl w:val="0"/>
          <w:numId w:val="1015"/>
        </w:numPr>
      </w:pPr>
      <w:r>
        <w:t xml:space="preserve">Apply runtime configuration</w:t>
      </w:r>
    </w:p>
    <w:p>
      <w:pPr>
        <w:pStyle w:val="Compact"/>
        <w:numPr>
          <w:ilvl w:val="0"/>
          <w:numId w:val="1015"/>
        </w:numPr>
      </w:pPr>
      <w:r>
        <w:t xml:space="preserve">Include or exclude fields</w:t>
      </w:r>
    </w:p>
    <w:p>
      <w:pPr>
        <w:pStyle w:val="Compact"/>
        <w:numPr>
          <w:ilvl w:val="0"/>
          <w:numId w:val="1015"/>
        </w:numPr>
      </w:pPr>
      <w:r>
        <w:t xml:space="preserve">Generate configurable output</w:t>
      </w:r>
    </w:p>
    <w:p>
      <w:r>
        <w:pict>
          <v:rect style="width:0;height:1.5pt" o:hralign="center" o:hrstd="t" o:hr="t"/>
        </w:pict>
      </w:r>
    </w:p>
    <w:bookmarkEnd w:id="38"/>
    <w:bookmarkStart w:id="39" w:name="output-writer"/>
    <w:p>
      <w:pPr>
        <w:pStyle w:val="Heading2"/>
      </w:pPr>
      <w:r>
        <w:t xml:space="preserve">Output Writer</w:t>
      </w:r>
    </w:p>
    <w:p>
      <w:pPr>
        <w:pStyle w:val="FirstParagraph"/>
      </w:pPr>
      <w:r>
        <w:t xml:space="preserve">Responsibilities</w:t>
      </w:r>
    </w:p>
    <w:p>
      <w:pPr>
        <w:pStyle w:val="Compact"/>
        <w:numPr>
          <w:ilvl w:val="0"/>
          <w:numId w:val="1016"/>
        </w:numPr>
      </w:pPr>
      <w:r>
        <w:t xml:space="preserve">Serialize final object</w:t>
      </w:r>
    </w:p>
    <w:p>
      <w:pPr>
        <w:pStyle w:val="Compact"/>
        <w:numPr>
          <w:ilvl w:val="0"/>
          <w:numId w:val="1016"/>
        </w:numPr>
      </w:pPr>
      <w:r>
        <w:t xml:space="preserve">Write JSON output</w:t>
      </w:r>
    </w:p>
    <w:p>
      <w:r>
        <w:pict>
          <v:rect style="width:0;height:1.5pt" o:hralign="center" o:hrstd="t" o:hr="t"/>
        </w:pict>
      </w:r>
    </w:p>
    <w:bookmarkEnd w:id="39"/>
    <w:bookmarkEnd w:id="40"/>
    <w:bookmarkStart w:id="41" w:name="end-to-end-data-flow"/>
    <w:p>
      <w:pPr>
        <w:pStyle w:val="Heading1"/>
      </w:pPr>
      <w:r>
        <w:t xml:space="preserve">7. End-to-End Data Flow</w:t>
      </w:r>
    </w:p>
    <w:p>
      <w:pPr>
        <w:pStyle w:val="SourceCode"/>
      </w:pPr>
      <w:r>
        <w:rPr>
          <w:rStyle w:val="VerbatimChar"/>
        </w:rPr>
        <w:t xml:space="preserve">ATS JSON</w:t>
      </w:r>
      <w:r>
        <w:br/>
      </w:r>
      <w:r>
        <w:rPr>
          <w:rStyle w:val="VerbatimChar"/>
        </w:rPr>
        <w:t xml:space="preserve">        \</w:t>
      </w:r>
      <w:r>
        <w:br/>
      </w:r>
      <w:r>
        <w:rPr>
          <w:rStyle w:val="VerbatimChar"/>
        </w:rPr>
        <w:t xml:space="preserve">         \</w:t>
      </w:r>
      <w:r>
        <w:br/>
      </w:r>
      <w:r>
        <w:rPr>
          <w:rStyle w:val="VerbatimChar"/>
        </w:rPr>
        <w:t xml:space="preserve">          --&gt; Parser Layer</w:t>
      </w:r>
      <w:r>
        <w:br/>
      </w:r>
      <w:r>
        <w:rPr>
          <w:rStyle w:val="VerbatimChar"/>
        </w:rPr>
        <w:t xml:space="preserve">         /</w:t>
      </w:r>
      <w:r>
        <w:br/>
      </w:r>
      <w:r>
        <w:rPr>
          <w:rStyle w:val="VerbatimChar"/>
        </w:rPr>
        <w:t xml:space="preserve">Resume PDF</w:t>
      </w:r>
      <w:r>
        <w:br/>
      </w:r>
      <w:r>
        <w:br/>
      </w:r>
      <w:r>
        <w:rPr>
          <w:rStyle w:val="VerbatimChar"/>
        </w:rPr>
        <w:t xml:space="preserve">↓</w:t>
      </w:r>
      <w:r>
        <w:br/>
      </w:r>
      <w:r>
        <w:br/>
      </w:r>
      <w:r>
        <w:rPr>
          <w:rStyle w:val="VerbatimChar"/>
        </w:rPr>
        <w:t xml:space="preserve">Canonical Candidate Model</w:t>
      </w:r>
      <w:r>
        <w:br/>
      </w:r>
      <w:r>
        <w:br/>
      </w:r>
      <w:r>
        <w:rPr>
          <w:rStyle w:val="VerbatimChar"/>
        </w:rPr>
        <w:t xml:space="preserve">↓</w:t>
      </w:r>
      <w:r>
        <w:br/>
      </w:r>
      <w:r>
        <w:br/>
      </w:r>
      <w:r>
        <w:rPr>
          <w:rStyle w:val="VerbatimChar"/>
        </w:rPr>
        <w:t xml:space="preserve">Normalization</w:t>
      </w:r>
      <w:r>
        <w:br/>
      </w:r>
      <w:r>
        <w:br/>
      </w:r>
      <w:r>
        <w:rPr>
          <w:rStyle w:val="VerbatimChar"/>
        </w:rPr>
        <w:t xml:space="preserve">↓</w:t>
      </w:r>
      <w:r>
        <w:br/>
      </w:r>
      <w:r>
        <w:br/>
      </w:r>
      <w:r>
        <w:rPr>
          <w:rStyle w:val="VerbatimChar"/>
        </w:rPr>
        <w:t xml:space="preserve">Merge</w:t>
      </w:r>
      <w:r>
        <w:br/>
      </w:r>
      <w:r>
        <w:br/>
      </w:r>
      <w:r>
        <w:rPr>
          <w:rStyle w:val="VerbatimChar"/>
        </w:rPr>
        <w:t xml:space="preserve">↓</w:t>
      </w:r>
      <w:r>
        <w:br/>
      </w:r>
      <w:r>
        <w:br/>
      </w:r>
      <w:r>
        <w:rPr>
          <w:rStyle w:val="VerbatimChar"/>
        </w:rPr>
        <w:t xml:space="preserve">Confidence</w:t>
      </w:r>
      <w:r>
        <w:br/>
      </w:r>
      <w:r>
        <w:br/>
      </w:r>
      <w:r>
        <w:rPr>
          <w:rStyle w:val="VerbatimChar"/>
        </w:rPr>
        <w:t xml:space="preserve">↓</w:t>
      </w:r>
      <w:r>
        <w:br/>
      </w:r>
      <w:r>
        <w:br/>
      </w:r>
      <w:r>
        <w:rPr>
          <w:rStyle w:val="VerbatimChar"/>
        </w:rPr>
        <w:t xml:space="preserve">Validation</w:t>
      </w:r>
      <w:r>
        <w:br/>
      </w:r>
      <w:r>
        <w:br/>
      </w:r>
      <w:r>
        <w:rPr>
          <w:rStyle w:val="VerbatimChar"/>
        </w:rPr>
        <w:t xml:space="preserve">↓</w:t>
      </w:r>
      <w:r>
        <w:br/>
      </w:r>
      <w:r>
        <w:br/>
      </w:r>
      <w:r>
        <w:rPr>
          <w:rStyle w:val="VerbatimChar"/>
        </w:rPr>
        <w:t xml:space="preserve">Projection</w:t>
      </w:r>
      <w:r>
        <w:br/>
      </w:r>
      <w:r>
        <w:br/>
      </w:r>
      <w:r>
        <w:rPr>
          <w:rStyle w:val="VerbatimChar"/>
        </w:rPr>
        <w:t xml:space="preserve">↓</w:t>
      </w:r>
      <w:r>
        <w:br/>
      </w:r>
      <w:r>
        <w:br/>
      </w:r>
      <w:r>
        <w:rPr>
          <w:rStyle w:val="VerbatimChar"/>
        </w:rPr>
        <w:t xml:space="preserve">Golden Candidate JSON</w:t>
      </w:r>
    </w:p>
    <w:p>
      <w:r>
        <w:pict>
          <v:rect style="width:0;height:1.5pt" o:hralign="center" o:hrstd="t" o:hr="t"/>
        </w:pict>
      </w:r>
    </w:p>
    <w:bookmarkEnd w:id="41"/>
    <w:bookmarkStart w:id="42" w:name="technology-mapping"/>
    <w:p>
      <w:pPr>
        <w:pStyle w:val="Heading1"/>
      </w:pPr>
      <w:r>
        <w:t xml:space="preserve">8. Technology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CLI</w:t>
            </w:r>
          </w:p>
        </w:tc>
        <w:tc>
          <w:tcPr/>
          <w:p>
            <w:pPr>
              <w:pStyle w:val="Compact"/>
            </w:pPr>
            <w:r>
              <w:t xml:space="preserve">Typer</w:t>
            </w:r>
          </w:p>
        </w:tc>
      </w:tr>
      <w:tr>
        <w:tc>
          <w:tcPr/>
          <w:p>
            <w:pPr>
              <w:pStyle w:val="Compact"/>
            </w:pPr>
            <w:r>
              <w:t xml:space="preserve">Models</w:t>
            </w:r>
          </w:p>
        </w:tc>
        <w:tc>
          <w:tcPr/>
          <w:p>
            <w:pPr>
              <w:pStyle w:val="Compact"/>
            </w:pPr>
            <w:r>
              <w:t xml:space="preserve">Pydantic</w:t>
            </w:r>
          </w:p>
        </w:tc>
      </w:tr>
      <w:tr>
        <w:tc>
          <w:tcPr/>
          <w:p>
            <w:pPr>
              <w:pStyle w:val="Compact"/>
            </w:pPr>
            <w:r>
              <w:t xml:space="preserve">PDF Parsing</w:t>
            </w:r>
          </w:p>
        </w:tc>
        <w:tc>
          <w:tcPr/>
          <w:p>
            <w:pPr>
              <w:pStyle w:val="Compact"/>
            </w:pPr>
            <w:r>
              <w:t xml:space="preserve">PyMuPDF</w:t>
            </w:r>
          </w:p>
        </w:tc>
      </w:tr>
      <w:tr>
        <w:tc>
          <w:tcPr/>
          <w:p>
            <w:pPr>
              <w:pStyle w:val="Compact"/>
            </w:pPr>
            <w:r>
              <w:t xml:space="preserve">Configuration</w:t>
            </w:r>
          </w:p>
        </w:tc>
        <w:tc>
          <w:tcPr/>
          <w:p>
            <w:pPr>
              <w:pStyle w:val="Compact"/>
            </w:pPr>
            <w:r>
              <w:t xml:space="preserve">PyYAML</w:t>
            </w:r>
          </w:p>
        </w:tc>
      </w:tr>
      <w:tr>
        <w:tc>
          <w:tcPr/>
          <w:p>
            <w:pPr>
              <w:pStyle w:val="Compact"/>
            </w:pPr>
            <w:r>
              <w:t xml:space="preserve">Testing</w:t>
            </w:r>
          </w:p>
        </w:tc>
        <w:tc>
          <w:tcPr/>
          <w:p>
            <w:pPr>
              <w:pStyle w:val="Compact"/>
            </w:pPr>
            <w:r>
              <w:t xml:space="preserve">Pytest</w:t>
            </w:r>
          </w:p>
        </w:tc>
      </w:tr>
      <w:tr>
        <w:tc>
          <w:tcPr/>
          <w:p>
            <w:pPr>
              <w:pStyle w:val="Compact"/>
            </w:pPr>
            <w:r>
              <w:t xml:space="preserve">Linting</w:t>
            </w:r>
          </w:p>
        </w:tc>
        <w:tc>
          <w:tcPr/>
          <w:p>
            <w:pPr>
              <w:pStyle w:val="Compact"/>
            </w:pPr>
            <w:r>
              <w:t xml:space="preserve">Ruff</w:t>
            </w:r>
          </w:p>
        </w:tc>
      </w:tr>
      <w:tr>
        <w:tc>
          <w:tcPr/>
          <w:p>
            <w:pPr>
              <w:pStyle w:val="Compact"/>
            </w:pPr>
            <w:r>
              <w:t xml:space="preserve">Formatting</w:t>
            </w:r>
          </w:p>
        </w:tc>
        <w:tc>
          <w:tcPr/>
          <w:p>
            <w:pPr>
              <w:pStyle w:val="Compact"/>
            </w:pPr>
            <w:r>
              <w:t xml:space="preserve">Black</w:t>
            </w:r>
          </w:p>
        </w:tc>
      </w:tr>
      <w:tr>
        <w:tc>
          <w:tcPr/>
          <w:p>
            <w:pPr>
              <w:pStyle w:val="Compact"/>
            </w:pPr>
            <w:r>
              <w:t xml:space="preserve">Type Checking</w:t>
            </w:r>
          </w:p>
        </w:tc>
        <w:tc>
          <w:tcPr/>
          <w:p>
            <w:pPr>
              <w:pStyle w:val="Compact"/>
            </w:pPr>
            <w:r>
              <w:t xml:space="preserve">MyPy</w:t>
            </w:r>
          </w:p>
        </w:tc>
      </w:tr>
    </w:tbl>
    <w:p>
      <w:r>
        <w:pict>
          <v:rect style="width:0;height:1.5pt" o:hralign="center" o:hrstd="t" o:hr="t"/>
        </w:pict>
      </w:r>
    </w:p>
    <w:bookmarkEnd w:id="42"/>
    <w:bookmarkStart w:id="47" w:name="cross-cutting-concerns"/>
    <w:p>
      <w:pPr>
        <w:pStyle w:val="Heading1"/>
      </w:pPr>
      <w:r>
        <w:t xml:space="preserve">9. Cross-Cutting Concerns</w:t>
      </w:r>
    </w:p>
    <w:bookmarkStart w:id="43" w:name="logging"/>
    <w:p>
      <w:pPr>
        <w:pStyle w:val="Heading2"/>
      </w:pPr>
      <w:r>
        <w:t xml:space="preserve">Logging</w:t>
      </w:r>
    </w:p>
    <w:p>
      <w:pPr>
        <w:pStyle w:val="FirstParagraph"/>
      </w:pPr>
      <w:r>
        <w:t xml:space="preserve">Structured logging across every pipeline stage.</w:t>
      </w:r>
    </w:p>
    <w:bookmarkEnd w:id="43"/>
    <w:bookmarkStart w:id="44" w:name="configuration"/>
    <w:p>
      <w:pPr>
        <w:pStyle w:val="Heading2"/>
      </w:pPr>
      <w:r>
        <w:t xml:space="preserve">Configuration</w:t>
      </w:r>
    </w:p>
    <w:p>
      <w:pPr>
        <w:pStyle w:val="FirstParagraph"/>
      </w:pPr>
      <w:r>
        <w:t xml:space="preserve">External YAML configuration.</w:t>
      </w:r>
    </w:p>
    <w:bookmarkEnd w:id="44"/>
    <w:bookmarkStart w:id="45" w:name="error-handling"/>
    <w:p>
      <w:pPr>
        <w:pStyle w:val="Heading2"/>
      </w:pPr>
      <w:r>
        <w:t xml:space="preserve">Error Handling</w:t>
      </w:r>
    </w:p>
    <w:p>
      <w:pPr>
        <w:pStyle w:val="FirstParagraph"/>
      </w:pPr>
      <w:r>
        <w:t xml:space="preserve">Centralized exception handling.</w:t>
      </w:r>
    </w:p>
    <w:bookmarkEnd w:id="45"/>
    <w:bookmarkStart w:id="46" w:name="explainability"/>
    <w:p>
      <w:pPr>
        <w:pStyle w:val="Heading2"/>
      </w:pPr>
      <w:r>
        <w:t xml:space="preserve">Explainability</w:t>
      </w:r>
    </w:p>
    <w:p>
      <w:pPr>
        <w:pStyle w:val="FirstParagraph"/>
      </w:pPr>
      <w:r>
        <w:t xml:space="preserve">Every merged field retains provenance and confidence.</w:t>
      </w:r>
    </w:p>
    <w:p>
      <w:r>
        <w:pict>
          <v:rect style="width:0;height:1.5pt" o:hralign="center" o:hrstd="t" o:hr="t"/>
        </w:pict>
      </w:r>
    </w:p>
    <w:bookmarkEnd w:id="46"/>
    <w:bookmarkEnd w:id="47"/>
    <w:bookmarkStart w:id="48" w:name="design-principles"/>
    <w:p>
      <w:pPr>
        <w:pStyle w:val="Heading1"/>
      </w:pPr>
      <w:r>
        <w:t xml:space="preserve">10. Design Principles</w:t>
      </w:r>
    </w:p>
    <w:p>
      <w:pPr>
        <w:pStyle w:val="FirstParagraph"/>
      </w:pPr>
      <w:r>
        <w:t xml:space="preserve">The architecture follows:</w:t>
      </w:r>
    </w:p>
    <w:p>
      <w:pPr>
        <w:pStyle w:val="Compact"/>
        <w:numPr>
          <w:ilvl w:val="0"/>
          <w:numId w:val="1017"/>
        </w:numPr>
      </w:pPr>
      <w:r>
        <w:t xml:space="preserve">Single Responsibility Principle</w:t>
      </w:r>
    </w:p>
    <w:p>
      <w:pPr>
        <w:pStyle w:val="Compact"/>
        <w:numPr>
          <w:ilvl w:val="0"/>
          <w:numId w:val="1017"/>
        </w:numPr>
      </w:pPr>
      <w:r>
        <w:t xml:space="preserve">Open/Closed Principle</w:t>
      </w:r>
    </w:p>
    <w:p>
      <w:pPr>
        <w:pStyle w:val="Compact"/>
        <w:numPr>
          <w:ilvl w:val="0"/>
          <w:numId w:val="1017"/>
        </w:numPr>
      </w:pPr>
      <w:r>
        <w:t xml:space="preserve">Dependency Inversion Principle</w:t>
      </w:r>
    </w:p>
    <w:p>
      <w:pPr>
        <w:pStyle w:val="Compact"/>
        <w:numPr>
          <w:ilvl w:val="0"/>
          <w:numId w:val="1017"/>
        </w:numPr>
      </w:pPr>
      <w:r>
        <w:t xml:space="preserve">Composition over Inheritance</w:t>
      </w:r>
    </w:p>
    <w:p>
      <w:pPr>
        <w:pStyle w:val="Compact"/>
        <w:numPr>
          <w:ilvl w:val="0"/>
          <w:numId w:val="1017"/>
        </w:numPr>
      </w:pPr>
      <w:r>
        <w:t xml:space="preserve">Configuration Driven Design</w:t>
      </w:r>
    </w:p>
    <w:p>
      <w:pPr>
        <w:pStyle w:val="Compact"/>
        <w:numPr>
          <w:ilvl w:val="0"/>
          <w:numId w:val="1017"/>
        </w:numPr>
      </w:pPr>
      <w:r>
        <w:t xml:space="preserve">Deterministic Processing</w:t>
      </w:r>
    </w:p>
    <w:p>
      <w:r>
        <w:pict>
          <v:rect style="width:0;height:1.5pt" o:hralign="center" o:hrstd="t" o:hr="t"/>
        </w:pict>
      </w:r>
    </w:p>
    <w:bookmarkEnd w:id="48"/>
    <w:bookmarkStart w:id="49" w:name="quality-attributes"/>
    <w:p>
      <w:pPr>
        <w:pStyle w:val="Heading1"/>
      </w:pPr>
      <w:r>
        <w:t xml:space="preserve">11. Quality Attributes</w:t>
      </w:r>
    </w:p>
    <w:p>
      <w:pPr>
        <w:pStyle w:val="FirstParagraph"/>
      </w:pPr>
      <w:r>
        <w:t xml:space="preserve">The architecture is designed for:</w:t>
      </w:r>
    </w:p>
    <w:p>
      <w:pPr>
        <w:pStyle w:val="Compact"/>
        <w:numPr>
          <w:ilvl w:val="0"/>
          <w:numId w:val="1018"/>
        </w:numPr>
      </w:pPr>
      <w:r>
        <w:t xml:space="preserve">Maintainability</w:t>
      </w:r>
    </w:p>
    <w:p>
      <w:pPr>
        <w:pStyle w:val="Compact"/>
        <w:numPr>
          <w:ilvl w:val="0"/>
          <w:numId w:val="1018"/>
        </w:numPr>
      </w:pPr>
      <w:r>
        <w:t xml:space="preserve">Testability</w:t>
      </w:r>
    </w:p>
    <w:p>
      <w:pPr>
        <w:pStyle w:val="Compact"/>
        <w:numPr>
          <w:ilvl w:val="0"/>
          <w:numId w:val="1018"/>
        </w:numPr>
      </w:pPr>
      <w:r>
        <w:t xml:space="preserve">Reliability</w:t>
      </w:r>
    </w:p>
    <w:p>
      <w:pPr>
        <w:pStyle w:val="Compact"/>
        <w:numPr>
          <w:ilvl w:val="0"/>
          <w:numId w:val="1018"/>
        </w:numPr>
      </w:pPr>
      <w:r>
        <w:t xml:space="preserve">Extensibility</w:t>
      </w:r>
    </w:p>
    <w:p>
      <w:pPr>
        <w:pStyle w:val="Compact"/>
        <w:numPr>
          <w:ilvl w:val="0"/>
          <w:numId w:val="1018"/>
        </w:numPr>
      </w:pPr>
      <w:r>
        <w:t xml:space="preserve">Explainability</w:t>
      </w:r>
    </w:p>
    <w:p>
      <w:pPr>
        <w:pStyle w:val="Compact"/>
        <w:numPr>
          <w:ilvl w:val="0"/>
          <w:numId w:val="1018"/>
        </w:numPr>
      </w:pPr>
      <w:r>
        <w:t xml:space="preserve">Security</w:t>
      </w:r>
    </w:p>
    <w:p>
      <w:pPr>
        <w:pStyle w:val="Compact"/>
        <w:numPr>
          <w:ilvl w:val="0"/>
          <w:numId w:val="1018"/>
        </w:numPr>
      </w:pPr>
      <w:r>
        <w:t xml:space="preserve">Performance</w:t>
      </w:r>
    </w:p>
    <w:p>
      <w:r>
        <w:pict>
          <v:rect style="width:0;height:1.5pt" o:hralign="center" o:hrstd="t" o:hr="t"/>
        </w:pict>
      </w:r>
    </w:p>
    <w:bookmarkEnd w:id="49"/>
    <w:bookmarkStart w:id="50" w:name="future-extension-strategy"/>
    <w:p>
      <w:pPr>
        <w:pStyle w:val="Heading1"/>
      </w:pPr>
      <w:r>
        <w:t xml:space="preserve">12. Future Extension Strategy</w:t>
      </w:r>
    </w:p>
    <w:p>
      <w:pPr>
        <w:pStyle w:val="FirstParagraph"/>
      </w:pPr>
      <w:r>
        <w:t xml:space="preserve">The architecture supports future input sources without modifying existing components.</w:t>
      </w:r>
    </w:p>
    <w:p>
      <w:pPr>
        <w:pStyle w:val="BodyText"/>
      </w:pPr>
      <w:r>
        <w:t xml:space="preserve">Potential future parsers:</w:t>
      </w:r>
    </w:p>
    <w:p>
      <w:pPr>
        <w:pStyle w:val="Compact"/>
        <w:numPr>
          <w:ilvl w:val="0"/>
          <w:numId w:val="1019"/>
        </w:numPr>
      </w:pPr>
      <w:r>
        <w:t xml:space="preserve">GitHub</w:t>
      </w:r>
    </w:p>
    <w:p>
      <w:pPr>
        <w:pStyle w:val="Compact"/>
        <w:numPr>
          <w:ilvl w:val="0"/>
          <w:numId w:val="1019"/>
        </w:numPr>
      </w:pPr>
      <w:r>
        <w:t xml:space="preserve">LinkedIn</w:t>
      </w:r>
    </w:p>
    <w:p>
      <w:pPr>
        <w:pStyle w:val="Compact"/>
        <w:numPr>
          <w:ilvl w:val="0"/>
          <w:numId w:val="1019"/>
        </w:numPr>
      </w:pPr>
      <w:r>
        <w:t xml:space="preserve">Recruiter Notes</w:t>
      </w:r>
    </w:p>
    <w:p>
      <w:pPr>
        <w:pStyle w:val="Compact"/>
        <w:numPr>
          <w:ilvl w:val="0"/>
          <w:numId w:val="1019"/>
        </w:numPr>
      </w:pPr>
      <w:r>
        <w:t xml:space="preserve">Recruiter CSV</w:t>
      </w:r>
    </w:p>
    <w:p>
      <w:pPr>
        <w:pStyle w:val="Compact"/>
        <w:numPr>
          <w:ilvl w:val="0"/>
          <w:numId w:val="1019"/>
        </w:numPr>
      </w:pPr>
      <w:r>
        <w:t xml:space="preserve">XML</w:t>
      </w:r>
    </w:p>
    <w:p>
      <w:pPr>
        <w:pStyle w:val="Compact"/>
        <w:numPr>
          <w:ilvl w:val="0"/>
          <w:numId w:val="1019"/>
        </w:numPr>
      </w:pPr>
      <w:r>
        <w:t xml:space="preserve">REST API</w:t>
      </w:r>
    </w:p>
    <w:p>
      <w:pPr>
        <w:pStyle w:val="FirstParagraph"/>
      </w:pPr>
      <w:r>
        <w:t xml:space="preserve">The Open/Closed Principle is preserved by implementing new parsers through a common parser abstraction.</w:t>
      </w:r>
    </w:p>
    <w:p>
      <w:r>
        <w:pict>
          <v:rect style="width:0;height:1.5pt" o:hralign="center" o:hrstd="t" o:hr="t"/>
        </w:pict>
      </w:r>
    </w:p>
    <w:bookmarkEnd w:id="50"/>
    <w:bookmarkStart w:id="51" w:name="hld-to-lld-mapping"/>
    <w:p>
      <w:pPr>
        <w:pStyle w:val="Heading1"/>
      </w:pPr>
      <w:r>
        <w:t xml:space="preserve">13. HLD to LLD 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HLD Component</w:t>
            </w:r>
          </w:p>
        </w:tc>
        <w:tc>
          <w:tcPr/>
          <w:p>
            <w:pPr>
              <w:pStyle w:val="Compact"/>
            </w:pPr>
            <w:r>
              <w:t xml:space="preserve">Planned Package</w:t>
            </w:r>
          </w:p>
        </w:tc>
      </w:tr>
      <w:tr>
        <w:tc>
          <w:tcPr/>
          <w:p>
            <w:pPr>
              <w:pStyle w:val="Compact"/>
            </w:pPr>
            <w:r>
              <w:t xml:space="preserve">Pipeline Orchestrator</w:t>
            </w:r>
          </w:p>
        </w:tc>
        <w:tc>
          <w:tcPr/>
          <w:p>
            <w:pPr>
              <w:pStyle w:val="Compact"/>
            </w:pPr>
            <w:r>
              <w:t xml:space="preserve">src/core</w:t>
            </w:r>
          </w:p>
        </w:tc>
      </w:tr>
      <w:tr>
        <w:tc>
          <w:tcPr/>
          <w:p>
            <w:pPr>
              <w:pStyle w:val="Compact"/>
            </w:pPr>
            <w:r>
              <w:t xml:space="preserve">Parser Layer</w:t>
            </w:r>
          </w:p>
        </w:tc>
        <w:tc>
          <w:tcPr/>
          <w:p>
            <w:pPr>
              <w:pStyle w:val="Compact"/>
            </w:pPr>
            <w:r>
              <w:t xml:space="preserve">src/parsers</w:t>
            </w:r>
          </w:p>
        </w:tc>
      </w:tr>
      <w:tr>
        <w:tc>
          <w:tcPr/>
          <w:p>
            <w:pPr>
              <w:pStyle w:val="Compact"/>
            </w:pPr>
            <w:r>
              <w:t xml:space="preserve">Canonical Candidate Model</w:t>
            </w:r>
          </w:p>
        </w:tc>
        <w:tc>
          <w:tcPr/>
          <w:p>
            <w:pPr>
              <w:pStyle w:val="Compact"/>
            </w:pPr>
            <w:r>
              <w:t xml:space="preserve">src/canonical</w:t>
            </w:r>
          </w:p>
        </w:tc>
      </w:tr>
      <w:tr>
        <w:tc>
          <w:tcPr/>
          <w:p>
            <w:pPr>
              <w:pStyle w:val="Compact"/>
            </w:pPr>
            <w:r>
              <w:t xml:space="preserve">Normalization Engine</w:t>
            </w:r>
          </w:p>
        </w:tc>
        <w:tc>
          <w:tcPr/>
          <w:p>
            <w:pPr>
              <w:pStyle w:val="Compact"/>
            </w:pPr>
            <w:r>
              <w:t xml:space="preserve">src/normalization</w:t>
            </w:r>
          </w:p>
        </w:tc>
      </w:tr>
      <w:tr>
        <w:tc>
          <w:tcPr/>
          <w:p>
            <w:pPr>
              <w:pStyle w:val="Compact"/>
            </w:pPr>
            <w:r>
              <w:t xml:space="preserve">Merge Engine</w:t>
            </w:r>
          </w:p>
        </w:tc>
        <w:tc>
          <w:tcPr/>
          <w:p>
            <w:pPr>
              <w:pStyle w:val="Compact"/>
            </w:pPr>
            <w:r>
              <w:t xml:space="preserve">src/merge</w:t>
            </w:r>
          </w:p>
        </w:tc>
      </w:tr>
      <w:tr>
        <w:tc>
          <w:tcPr/>
          <w:p>
            <w:pPr>
              <w:pStyle w:val="Compact"/>
            </w:pPr>
            <w:r>
              <w:t xml:space="preserve">Confidence Engine</w:t>
            </w:r>
          </w:p>
        </w:tc>
        <w:tc>
          <w:tcPr/>
          <w:p>
            <w:pPr>
              <w:pStyle w:val="Compact"/>
            </w:pPr>
            <w:r>
              <w:t xml:space="preserve">src/confidence</w:t>
            </w:r>
          </w:p>
        </w:tc>
      </w:tr>
      <w:tr>
        <w:tc>
          <w:tcPr/>
          <w:p>
            <w:pPr>
              <w:pStyle w:val="Compact"/>
            </w:pPr>
            <w:r>
              <w:t xml:space="preserve">Validation Layer</w:t>
            </w:r>
          </w:p>
        </w:tc>
        <w:tc>
          <w:tcPr/>
          <w:p>
            <w:pPr>
              <w:pStyle w:val="Compact"/>
            </w:pPr>
            <w:r>
              <w:t xml:space="preserve">src/validation</w:t>
            </w:r>
          </w:p>
        </w:tc>
      </w:tr>
      <w:tr>
        <w:tc>
          <w:tcPr/>
          <w:p>
            <w:pPr>
              <w:pStyle w:val="Compact"/>
            </w:pPr>
            <w:r>
              <w:t xml:space="preserve">Projection Engine</w:t>
            </w:r>
          </w:p>
        </w:tc>
        <w:tc>
          <w:tcPr/>
          <w:p>
            <w:pPr>
              <w:pStyle w:val="Compact"/>
            </w:pPr>
            <w:r>
              <w:t xml:space="preserve">src/projection</w:t>
            </w:r>
          </w:p>
        </w:tc>
      </w:tr>
      <w:tr>
        <w:tc>
          <w:tcPr/>
          <w:p>
            <w:pPr>
              <w:pStyle w:val="Compact"/>
            </w:pPr>
            <w:r>
              <w:t xml:space="preserve">Output Writer</w:t>
            </w:r>
          </w:p>
        </w:tc>
        <w:tc>
          <w:tcPr/>
          <w:p>
            <w:pPr>
              <w:pStyle w:val="Compact"/>
            </w:pPr>
            <w:r>
              <w:t xml:space="preserve">src/output</w:t>
            </w:r>
          </w:p>
        </w:tc>
      </w:tr>
      <w:tr>
        <w:tc>
          <w:tcPr/>
          <w:p>
            <w:pPr>
              <w:pStyle w:val="Compact"/>
            </w:pPr>
            <w:r>
              <w:t xml:space="preserve">Domain Models</w:t>
            </w:r>
          </w:p>
        </w:tc>
        <w:tc>
          <w:tcPr/>
          <w:p>
            <w:pPr>
              <w:pStyle w:val="Compact"/>
            </w:pPr>
            <w:r>
              <w:t xml:space="preserve">src/models</w:t>
            </w:r>
          </w:p>
        </w:tc>
      </w:tr>
    </w:tbl>
    <w:p>
      <w:r>
        <w:pict>
          <v:rect style="width:0;height:1.5pt" o:hralign="center" o:hrstd="t" o:hr="t"/>
        </w:pict>
      </w:r>
    </w:p>
    <w:bookmarkEnd w:id="51"/>
    <w:bookmarkStart w:id="52" w:name="risks"/>
    <w:p>
      <w:pPr>
        <w:pStyle w:val="Heading1"/>
      </w:pPr>
      <w:r>
        <w:t xml:space="preserve">14. Risks</w:t>
      </w:r>
    </w:p>
    <w:p>
      <w:pPr>
        <w:pStyle w:val="Compact"/>
        <w:numPr>
          <w:ilvl w:val="0"/>
          <w:numId w:val="1020"/>
        </w:numPr>
      </w:pPr>
      <w:r>
        <w:t xml:space="preserve">Invalid ATS JSON</w:t>
      </w:r>
    </w:p>
    <w:p>
      <w:pPr>
        <w:pStyle w:val="Compact"/>
        <w:numPr>
          <w:ilvl w:val="0"/>
          <w:numId w:val="1020"/>
        </w:numPr>
      </w:pPr>
      <w:r>
        <w:t xml:space="preserve">Corrupted Resume PDF</w:t>
      </w:r>
    </w:p>
    <w:p>
      <w:pPr>
        <w:pStyle w:val="Compact"/>
        <w:numPr>
          <w:ilvl w:val="0"/>
          <w:numId w:val="1020"/>
        </w:numPr>
      </w:pPr>
      <w:r>
        <w:t xml:space="preserve">Conflicting candidate information</w:t>
      </w:r>
    </w:p>
    <w:p>
      <w:pPr>
        <w:pStyle w:val="Compact"/>
        <w:numPr>
          <w:ilvl w:val="0"/>
          <w:numId w:val="1020"/>
        </w:numPr>
      </w:pPr>
      <w:r>
        <w:t xml:space="preserve">Missing mandatory fields</w:t>
      </w:r>
    </w:p>
    <w:p>
      <w:pPr>
        <w:pStyle w:val="Compact"/>
        <w:numPr>
          <w:ilvl w:val="0"/>
          <w:numId w:val="1020"/>
        </w:numPr>
      </w:pPr>
      <w:r>
        <w:t xml:space="preserve">Configuration errors</w:t>
      </w:r>
    </w:p>
    <w:p>
      <w:pPr>
        <w:pStyle w:val="FirstParagraph"/>
      </w:pPr>
      <w:r>
        <w:t xml:space="preserve">Mitigation is provided through validation, deterministic merge rules, and graceful error handling.</w:t>
      </w:r>
    </w:p>
    <w:p>
      <w:r>
        <w:pict>
          <v:rect style="width:0;height:1.5pt" o:hralign="center" o:hrstd="t" o:hr="t"/>
        </w:pict>
      </w:r>
    </w:p>
    <w:bookmarkEnd w:id="52"/>
    <w:bookmarkStart w:id="53" w:name="architecture-validation-checklist"/>
    <w:p>
      <w:pPr>
        <w:pStyle w:val="Heading1"/>
      </w:pPr>
      <w:r>
        <w:t xml:space="preserve">15. Architecture Validation Checklist</w:t>
      </w:r>
    </w:p>
    <w:p>
      <w:pPr>
        <w:pStyle w:val="Compact"/>
        <w:numPr>
          <w:ilvl w:val="0"/>
          <w:numId w:val="1021"/>
        </w:numPr>
      </w:pPr>
      <w:r>
        <w:t xml:space="preserve">Layered architecture</w:t>
      </w:r>
    </w:p>
    <w:p>
      <w:pPr>
        <w:pStyle w:val="Compact"/>
        <w:numPr>
          <w:ilvl w:val="0"/>
          <w:numId w:val="1021"/>
        </w:numPr>
      </w:pPr>
      <w:r>
        <w:t xml:space="preserve">Modular components</w:t>
      </w:r>
    </w:p>
    <w:p>
      <w:pPr>
        <w:pStyle w:val="Compact"/>
        <w:numPr>
          <w:ilvl w:val="0"/>
          <w:numId w:val="1021"/>
        </w:numPr>
      </w:pPr>
      <w:r>
        <w:t xml:space="preserve">No cyclic dependencies</w:t>
      </w:r>
    </w:p>
    <w:p>
      <w:pPr>
        <w:pStyle w:val="Compact"/>
        <w:numPr>
          <w:ilvl w:val="0"/>
          <w:numId w:val="1021"/>
        </w:numPr>
      </w:pPr>
      <w:r>
        <w:t xml:space="preserve">Deterministic processing</w:t>
      </w:r>
    </w:p>
    <w:p>
      <w:pPr>
        <w:pStyle w:val="Compact"/>
        <w:numPr>
          <w:ilvl w:val="0"/>
          <w:numId w:val="1021"/>
        </w:numPr>
      </w:pPr>
      <w:r>
        <w:t xml:space="preserve">Configurable output</w:t>
      </w:r>
    </w:p>
    <w:p>
      <w:pPr>
        <w:pStyle w:val="Compact"/>
        <w:numPr>
          <w:ilvl w:val="0"/>
          <w:numId w:val="1021"/>
        </w:numPr>
      </w:pPr>
      <w:r>
        <w:t xml:space="preserve">Explainable merge decisions</w:t>
      </w:r>
    </w:p>
    <w:p>
      <w:pPr>
        <w:pStyle w:val="Compact"/>
        <w:numPr>
          <w:ilvl w:val="0"/>
          <w:numId w:val="1021"/>
        </w:numPr>
      </w:pPr>
      <w:r>
        <w:t xml:space="preserve">Testable modules</w:t>
      </w:r>
    </w:p>
    <w:p>
      <w:pPr>
        <w:pStyle w:val="Compact"/>
        <w:numPr>
          <w:ilvl w:val="0"/>
          <w:numId w:val="1021"/>
        </w:numPr>
      </w:pPr>
      <w:r>
        <w:t xml:space="preserve">Future extensibility</w:t>
      </w:r>
    </w:p>
    <w:p>
      <w:r>
        <w:pict>
          <v:rect style="width:0;height:1.5pt" o:hralign="center" o:hrstd="t" o:hr="t"/>
        </w:pict>
      </w:r>
    </w:p>
    <w:bookmarkEnd w:id="53"/>
    <w:bookmarkStart w:id="54" w:name="conclusion"/>
    <w:p>
      <w:pPr>
        <w:pStyle w:val="Heading1"/>
      </w:pPr>
      <w:r>
        <w:t xml:space="preserve">16. Conclusion</w:t>
      </w:r>
    </w:p>
    <w:p>
      <w:pPr>
        <w:pStyle w:val="FirstParagraph"/>
      </w:pPr>
      <w:r>
        <w:t xml:space="preserve">The proposed architecture provides a clean, modular, and production-inspired foundation for the Multi-Source Candidate Data Transformer.</w:t>
      </w:r>
    </w:p>
    <w:p>
      <w:pPr>
        <w:pStyle w:val="BodyText"/>
      </w:pPr>
      <w:r>
        <w:t xml:space="preserve">The architecture satisfies all functional and non-functional requirements identified during the Software Requirements Analysis and is fully aligned with the Technology Decision Record. It serves as the implementation blueprint for the Low Level Design and subsequent development.</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2026-06-29T19:37:55Z</dcterms:created>
  <dcterms:modified xsi:type="dcterms:W3CDTF">2026-06-29T19:37:55Z</dcterms:modified>
</cp:coreProperties>
</file>

<file path=docProps/custom.xml><?xml version="1.0" encoding="utf-8"?>
<Properties xmlns="http://schemas.openxmlformats.org/officeDocument/2006/custom-properties" xmlns:vt="http://schemas.openxmlformats.org/officeDocument/2006/docPropsVTypes"/>
</file>