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11906"/>
      </w:tblGrid>
      <w:tr w:rsidR="008844DE" w14:paraId="1D070D95" w14:textId="77777777">
        <w:tblPrEx>
          <w:tblCellMar>
            <w:top w:w="0" w:type="dxa"/>
            <w:bottom w:w="0" w:type="dxa"/>
          </w:tblCellMar>
        </w:tblPrEx>
        <w:trPr>
          <w:trHeight w:hRule="exact" w:val="16838"/>
        </w:trPr>
        <w:tc>
          <w:tcPr>
            <w:tcW w:w="100" w:type="dxa"/>
            <w:tcBorders>
              <w:top w:val="none" w:sz="0" w:space="0" w:color="FFFFFF"/>
              <w:left w:val="none" w:sz="0" w:space="0" w:color="FFFFFF"/>
              <w:bottom w:val="none" w:sz="0" w:space="0" w:color="FFFFFF"/>
              <w:right w:val="none" w:sz="0" w:space="0" w:color="FFFFFF"/>
            </w:tcBorders>
            <w:shd w:val="clear" w:color="auto" w:fill="F4F8FC"/>
          </w:tcPr>
          <w:p w14:paraId="477AEFA7" w14:textId="77777777" w:rsidR="008844DE" w:rsidRDefault="008844DE">
            <w:pPr>
              <w:keepNext w:val="0"/>
              <w:spacing w:before="3878" w:after="0"/>
            </w:pPr>
          </w:p>
          <w:p w14:paraId="5248A771" w14:textId="24C50A13" w:rsidR="008844DE" w:rsidRDefault="00000000">
            <w:pPr>
              <w:keepNext w:val="0"/>
              <w:pBdr>
                <w:bottom w:val="single" w:sz="6" w:space="8" w:color="5B8DB8"/>
              </w:pBdr>
              <w:spacing w:after="500"/>
              <w:ind w:left="1200" w:right="800"/>
            </w:pPr>
            <w:proofErr w:type="gramStart"/>
            <w:proofErr w:type="gramEnd"/>
            <w:proofErr w:type="spellStart"/>
            <w:proofErr w:type="gramStart"/>
            <w:proofErr w:type="spellEnd"/>
            <w:proofErr w:type="gramEnd"/>
            <w:proofErr w:type="gramStart"/>
            <w:proofErr w:type="gramEnd"/>
            <w:proofErr w:type="gramStart"/>
            <w:proofErr w:type="gramEnd"/>
            <w:proofErr w:type="gramStart"/>
            <w:proofErr w:type="gramEnd"/>
            <w:proofErr w:type="gramStart"/>
            <w:proofErr w:type="gramEnd"/>
            <w:r>
              <w:rPr>
                <w:rFonts w:ascii="Calibri" w:eastAsia="Calibri"/>
                <w:color w:val="5B8DB8"/>
                <w:spacing w:val="40"/>
                <w:sz w:val="18"/>
                <w:szCs w:val="18"/>
              </w:rPr>
              <w:t>W  E  E  K  -  4     R  E  P  O  R  T</w:t>
            </w:r>
          </w:p>
          <w:p w14:paraId="484C88B8" w14:textId="77777777" w:rsidR="008844DE" w:rsidRDefault="00000000">
            <w:pPr>
              <w:pStyle w:val="Title"/>
              <w:keepNext w:val="0"/>
              <w:spacing w:after="100" w:line="828" w:lineRule="atLeast"/>
              <w:ind w:left="1200"/>
            </w:pPr>
            <w:r>
              <w:rPr>
                <w:rFonts w:ascii="Calibri" w:eastAsia="Calibri"/>
                <w:b/>
                <w:bCs/>
                <w:color w:val="0A1628"/>
                <w:sz w:val="64"/>
                <w:szCs w:val="72"/>
              </w:rPr>
              <w:t>Machine Learning</w:t>
            </w:r>
          </w:p>
          <w:p w14:paraId="3B25DF8C" w14:textId="77777777" w:rsidR="008844DE" w:rsidRDefault="00000000">
            <w:pPr>
              <w:pStyle w:val="Title"/>
              <w:keepNext w:val="0"/>
              <w:spacing w:after="300" w:line="828" w:lineRule="atLeast"/>
              <w:ind w:left="1200"/>
            </w:pPr>
            <w:r>
              <w:rPr>
                <w:rFonts w:ascii="Calibri" w:eastAsia="Calibri"/>
                <w:b/>
                <w:bCs/>
                <w:color w:val="0A1628"/>
                <w:sz w:val="64"/>
                <w:szCs w:val="72"/>
              </w:rPr>
              <w:t>Development and Evaluation</w:t>
            </w:r>
          </w:p>
          <w:p w14:paraId="36FDDC7F" w14:textId="77777777" w:rsidR="008844DE" w:rsidRDefault="00000000">
            <w:pPr>
              <w:keepNext w:val="0"/>
              <w:spacing w:after="800"/>
              <w:ind w:left="1200"/>
            </w:pPr>
            <w:r>
              <w:rPr>
                <w:rFonts w:ascii="Calibri" w:eastAsia="Calibri"/>
                <w:i/>
                <w:iCs/>
                <w:color w:val="606060"/>
                <w:sz w:val="26"/>
                <w:szCs w:val="26"/>
              </w:rPr>
              <w:t>Week 4 Deliverable — Titanic Survival Analysis</w:t>
            </w:r>
          </w:p>
          <w:p w14:paraId="4400B76C" w14:textId="77777777" w:rsidR="008844DE" w:rsidRDefault="00000000">
            <w:pPr>
              <w:keepNext w:val="0"/>
              <w:pBdr>
                <w:left w:val="single" w:sz="8" w:space="12" w:color="5B8DB8"/>
              </w:pBdr>
              <w:spacing w:after="100"/>
              <w:ind w:left="1400"/>
            </w:pPr>
            <w:r>
              <w:rPr>
                <w:rFonts w:ascii="Times New Roman" w:hAnsi="Times New Roman"/>
                <w:color w:val="707070"/>
                <w:sz w:val="22"/>
              </w:rPr>
              <w:t>Programme: Virtual Data Science with Python Apprenticeship</w:t>
            </w:r>
          </w:p>
          <w:p w14:paraId="6A89886B" w14:textId="77777777" w:rsidR="008844DE" w:rsidRDefault="00000000">
            <w:pPr>
              <w:keepNext w:val="0"/>
              <w:pBdr>
                <w:left w:val="single" w:sz="8" w:space="12" w:color="5B8DB8"/>
              </w:pBdr>
              <w:spacing w:after="100"/>
              <w:ind w:left="1400"/>
            </w:pPr>
            <w:r>
              <w:rPr>
                <w:rFonts w:ascii="Times New Roman" w:hAnsi="Times New Roman"/>
                <w:color w:val="707070"/>
                <w:sz w:val="22"/>
              </w:rPr>
              <w:t xml:space="preserve">Platform: </w:t>
            </w:r>
            <w:proofErr w:type="spellStart"/>
            <w:r>
              <w:rPr>
                <w:rFonts w:ascii="Times New Roman" w:hAnsi="Times New Roman"/>
                <w:color w:val="707070"/>
                <w:sz w:val="22"/>
              </w:rPr>
              <w:t>YuvaIntern</w:t>
            </w:r>
            <w:proofErr w:type="spellEnd"/>
          </w:p>
          <w:p w14:paraId="39435713" w14:textId="77777777" w:rsidR="008844DE" w:rsidRDefault="00000000">
            <w:pPr>
              <w:keepNext w:val="0"/>
              <w:pBdr>
                <w:left w:val="single" w:sz="8" w:space="12" w:color="5B8DB8"/>
              </w:pBdr>
              <w:spacing w:after="100"/>
              <w:ind w:left="1400"/>
            </w:pPr>
            <w:r>
              <w:rPr>
                <w:rFonts w:ascii="Times New Roman" w:hAnsi="Times New Roman"/>
                <w:color w:val="707070"/>
                <w:sz w:val="22"/>
              </w:rPr>
              <w:t>Dataset: RMS Titanic Passenger Manifest (891 rows × 15 columns)</w:t>
            </w:r>
          </w:p>
          <w:p w14:paraId="67704473" w14:textId="77777777" w:rsidR="008844DE" w:rsidRDefault="00000000">
            <w:pPr>
              <w:keepNext w:val="0"/>
              <w:pBdr>
                <w:left w:val="single" w:sz="8" w:space="12" w:color="5B8DB8"/>
              </w:pBdr>
              <w:spacing w:after="100"/>
              <w:ind w:left="1400"/>
            </w:pPr>
            <w:r>
              <w:rPr>
                <w:rFonts w:ascii="Times New Roman" w:hAnsi="Times New Roman"/>
                <w:color w:val="707070"/>
                <w:sz w:val="22"/>
              </w:rPr>
              <w:t>Tools: Python 3.12 · pandas · scikit-learn · Matplotlib</w:t>
            </w:r>
          </w:p>
          <w:p w14:paraId="58FED3BB" w14:textId="77777777" w:rsidR="008844DE" w:rsidRDefault="00000000">
            <w:pPr>
              <w:keepNext w:val="0"/>
              <w:pBdr>
                <w:left w:val="single" w:sz="8" w:space="12" w:color="5B8DB8"/>
              </w:pBdr>
              <w:spacing w:after="100"/>
              <w:ind w:left="1400"/>
            </w:pPr>
            <w:r>
              <w:rPr>
                <w:rFonts w:ascii="Times New Roman" w:hAnsi="Times New Roman"/>
                <w:color w:val="707070"/>
                <w:sz w:val="22"/>
              </w:rPr>
              <w:t>Analysis: 3 model comparisons and 4 evaluation figures</w:t>
            </w:r>
          </w:p>
          <w:p w14:paraId="430D929D" w14:textId="77777777" w:rsidR="008844DE" w:rsidRDefault="00000000">
            <w:pPr>
              <w:keepNext w:val="0"/>
              <w:pBdr>
                <w:left w:val="single" w:sz="8" w:space="12" w:color="5B8DB8"/>
              </w:pBdr>
              <w:spacing w:after="100"/>
              <w:ind w:left="1400"/>
            </w:pPr>
            <w:r>
              <w:rPr>
                <w:rFonts w:ascii="Times New Roman" w:hAnsi="Times New Roman"/>
                <w:color w:val="707070"/>
                <w:sz w:val="22"/>
              </w:rPr>
              <w:t>Assigned workload: 30–35 hours</w:t>
            </w:r>
          </w:p>
          <w:p w14:paraId="7ABE572A" w14:textId="77777777" w:rsidR="008844DE" w:rsidRDefault="008844DE">
            <w:pPr>
              <w:keepNext w:val="0"/>
              <w:spacing w:before="2100" w:after="0"/>
            </w:pPr>
          </w:p>
          <w:p w14:paraId="7322E70F" w14:textId="77777777" w:rsidR="008844DE" w:rsidRDefault="00000000">
            <w:pPr>
              <w:keepNext w:val="0"/>
              <w:pBdr>
                <w:top w:val="single" w:sz="2" w:space="8" w:color="5B8DB8"/>
              </w:pBdr>
              <w:spacing w:before="200" w:after="0"/>
              <w:ind w:left="1200" w:right="800"/>
            </w:pPr>
            <w:proofErr w:type="spellStart"/>
            <w:proofErr w:type="spellEnd"/>
            <w:r>
              <w:rPr>
                <w:color w:val="A0A0A0"/>
                <w:sz w:val="16"/>
                <w:szCs w:val="16"/>
              </w:rPr>
              <w:t>YuvaIntern Data Science Apprenticeship                                        Week 4 of 5</w:t>
            </w:r>
          </w:p>
        </w:tc>
      </w:tr>
    </w:tbl>
    <w:p w14:paraId="32A0CC98" w14:textId="77777777" w:rsidR="008844DE" w:rsidRDefault="008844DE">
      <w:pPr>
        <w:sectPr w:rsidR="008844DE">
          <w:headerReference w:type="default" r:id="rId15"/>
          <w:footerReference w:type="default" r:id="rId16"/>
          <w:pgSz w:w="11906" w:h="16838"/>
          <w:pgMar w:top="0" w:right="0" w:bottom="0" w:left="0" w:header="708" w:footer="708" w:gutter="0"/>
          <w:cols w:space="720"/>
          <w:docGrid w:linePitch="360"/>
        </w:sectPr>
      </w:pPr>
    </w:p>
    <w:p>
      <w:pPr>
        <w:pStyle w:val="Heading1"/>
        <w:pageBreakBefore w:val="0"/>
        <w:spacing w:before="0"/>
      </w:pPr>
      <w:r>
        <w:rPr>
          <w:rFonts w:ascii="CMU Serif" w:hAnsi="CMU Serif"/>
          <w:color w:val="0A1628"/>
        </w:rPr>
        <w:t>1.  Introduction and modelling objective</w:t>
      </w:r>
    </w:p>
    <w:p>
      <w:pPr>
        <w:ind w:firstLine="360"/>
        <w:jc w:val="both"/>
      </w:pPr>
      <w:r>
        <w:t>This report develops and evaluates a basic classification model for Titanic passenger survival. I use the same 891-record source snapshot as the previous weeks, preserving continuity from exploratory analysis to statistical testing and prediction. The target is survived, where 1 means survival and 0 means non-survival. The objective is an educational comparison of predictive methods on historical passenger records, rather than an operational evacuation system.</w:t>
      </w:r>
    </w:p>
    <w:p>
      <w:pPr>
        <w:ind w:firstLine="360"/>
        <w:jc w:val="both"/>
      </w:pPr>
      <w:r>
        <w:t>Logistic regression was selected using five-fold cross-validation within a 712-record development set. On the remaining 179 records it achieved 82.1% accuracy, 0.845 ROC AUC and 0.750 F1. It outperformed the majority-class baseline and the constrained decision tree in this experiment. Its errors remain consequential: 21 of 69 actual survivors were classified as non-survivors, and subgroup performance was uneven.</w:t>
      </w:r>
    </w:p>
    <w:p>
      <w:pPr>
        <w:pStyle w:val="Heading2"/>
      </w:pPr>
      <w:r>
        <w:rPr>
          <w:rFonts w:ascii="CMU Serif" w:hAnsi="CMU Serif"/>
          <w:color w:val="0A1628"/>
        </w:rPr>
        <w:t>Continuity with the earlier analysis</w:t>
      </w:r>
    </w:p>
    <w:p>
      <w:pPr>
        <w:ind w:firstLine="360"/>
        <w:jc w:val="both"/>
      </w:pPr>
      <w:r>
        <w:t>Weeks 1 and 2 supplied descriptive patterns; Week 3 tested associations with sex, class, age, childhood status and family group. Those findings motivate candidate predictors but do not establish causation. In particular, family size has a non-linear pattern, and the age comparison is sensitive to missing-value treatment. Predictive usefulness is assessed here through cross-validation rather than inferred from statistical significance alone.</w:t>
      </w:r>
    </w:p>
    <w:p>
      <w:pPr>
        <w:ind w:firstLine="360"/>
        <w:jc w:val="both"/>
      </w:pPr>
      <w:r>
        <w:t>The full dataset was explored in earlier weeks before this split was created. Consequently, the test records were withheld from Week 4 model fitting and selection, but they are not a pristine external validation set. The scores are internal estimates for this particular historical dataset and may be optimistic after project-wide exploration.</w:t>
      </w:r>
    </w:p>
    <w:tbl>
      <w:tblPr>
        <w:tblW w:type="auto" w:w="0"/>
        <w:jc w:val="center"/>
        <w:tblLayout w:type="fixed"/>
        <w:tblLook w:firstColumn="1" w:firstRow="1" w:lastColumn="0" w:lastRow="0" w:noHBand="0" w:noVBand="1" w:val="04A0"/>
      </w:tblPr>
      <w:tblGrid>
        <w:gridCol w:w="2376"/>
        <w:gridCol w:w="6408"/>
      </w:tblGrid>
      <w:tr>
        <w:trPr>
          <w:cantSplit/>
          <w:tblHeader/>
        </w:trPr>
        <w:tc>
          <w:tcPr>
            <w:tcW w:type="dxa" w:w="2376"/>
            <w:vAlign w:val="center"/>
            <w:tcBorders>
              <w:top w:val="single" w:sz="4" w:color="D9D9D9"/>
              <w:left w:val="single" w:sz="4" w:color="D9D9D9"/>
              <w:bottom w:val="single" w:sz="4" w:color="D9D9D9"/>
              <w:right w:val="single" w:sz="4" w:color="D9D9D9"/>
            </w:tcBorders>
            <w:shd w:fill="DCE7EF"/>
            <w:tcMar>
              <w:top w:w="80" w:type="dxa"/>
              <w:left w:w="80" w:type="dxa"/>
              <w:bottom w:w="80" w:type="dxa"/>
              <w:right w:w="80" w:type="dxa"/>
            </w:tcMar>
          </w:tcPr>
          <w:p>
            <w:pPr>
              <w:spacing w:after="40" w:line="252" w:lineRule="auto"/>
            </w:pPr>
            <w:r>
              <w:rPr>
                <w:rFonts w:ascii="CMU Serif" w:hAnsi="CMU Serif"/>
                <w:b/>
                <w:sz w:val="19"/>
              </w:rPr>
              <w:t>Design item</w:t>
            </w:r>
          </w:p>
        </w:tc>
        <w:tc>
          <w:tcPr>
            <w:tcW w:type="dxa" w:w="6408"/>
            <w:vAlign w:val="center"/>
            <w:tcBorders>
              <w:top w:val="single" w:sz="4" w:color="D9D9D9"/>
              <w:left w:val="single" w:sz="4" w:color="D9D9D9"/>
              <w:bottom w:val="single" w:sz="4" w:color="D9D9D9"/>
              <w:right w:val="single" w:sz="4" w:color="D9D9D9"/>
            </w:tcBorders>
            <w:shd w:fill="DCE7EF"/>
            <w:tcMar>
              <w:top w:w="80" w:type="dxa"/>
              <w:left w:w="80" w:type="dxa"/>
              <w:bottom w:w="80" w:type="dxa"/>
              <w:right w:w="80" w:type="dxa"/>
            </w:tcMar>
          </w:tcPr>
          <w:p>
            <w:pPr>
              <w:spacing w:after="40" w:line="252" w:lineRule="auto"/>
            </w:pPr>
            <w:r>
              <w:rPr>
                <w:rFonts w:ascii="CMU Serif" w:hAnsi="CMU Serif"/>
                <w:b/>
                <w:sz w:val="19"/>
              </w:rPr>
              <w:t>Specification</w:t>
            </w:r>
          </w:p>
        </w:tc>
      </w:tr>
      <w:tr>
        <w:trPr>
          <w:cantSplit/>
        </w:trPr>
        <w:tc>
          <w:tcPr>
            <w:tcW w:type="dxa" w:w="2376"/>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40" w:line="252" w:lineRule="auto"/>
            </w:pPr>
            <w:r>
              <w:rPr>
                <w:rFonts w:ascii="CMU Serif" w:hAnsi="CMU Serif"/>
                <w:b w:val="0"/>
                <w:sz w:val="19"/>
              </w:rPr>
              <w:t>Prediction target</w:t>
            </w:r>
          </w:p>
        </w:tc>
        <w:tc>
          <w:tcPr>
            <w:tcW w:type="dxa" w:w="6408"/>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40" w:line="252" w:lineRule="auto"/>
            </w:pPr>
            <w:r>
              <w:rPr>
                <w:rFonts w:ascii="CMU Serif" w:hAnsi="CMU Serif"/>
                <w:b w:val="0"/>
                <w:sz w:val="19"/>
              </w:rPr>
              <w:t>survived: 0 or 1</w:t>
            </w:r>
          </w:p>
        </w:tc>
      </w:tr>
      <w:tr>
        <w:trPr>
          <w:cantSplit/>
        </w:trPr>
        <w:tc>
          <w:tcPr>
            <w:tcW w:type="dxa" w:w="2376"/>
            <w:vAlign w:val="center"/>
            <w:tcBorders>
              <w:top w:val="single" w:sz="4" w:color="D9D9D9"/>
              <w:left w:val="single" w:sz="4" w:color="D9D9D9"/>
              <w:bottom w:val="single" w:sz="4" w:color="D9D9D9"/>
              <w:right w:val="single" w:sz="4" w:color="D9D9D9"/>
            </w:tcBorders>
            <w:shd w:fill="F4F8FC"/>
            <w:tcMar>
              <w:top w:w="80" w:type="dxa"/>
              <w:left w:w="80" w:type="dxa"/>
              <w:bottom w:w="80" w:type="dxa"/>
              <w:right w:w="80" w:type="dxa"/>
            </w:tcMar>
          </w:tcPr>
          <w:p>
            <w:pPr>
              <w:spacing w:after="40" w:line="252" w:lineRule="auto"/>
            </w:pPr>
            <w:r>
              <w:rPr>
                <w:rFonts w:ascii="CMU Serif" w:hAnsi="CMU Serif"/>
                <w:b w:val="0"/>
                <w:sz w:val="19"/>
              </w:rPr>
              <w:t>Source records</w:t>
            </w:r>
          </w:p>
        </w:tc>
        <w:tc>
          <w:tcPr>
            <w:tcW w:type="dxa" w:w="6408"/>
            <w:vAlign w:val="center"/>
            <w:tcBorders>
              <w:top w:val="single" w:sz="4" w:color="D9D9D9"/>
              <w:left w:val="single" w:sz="4" w:color="D9D9D9"/>
              <w:bottom w:val="single" w:sz="4" w:color="D9D9D9"/>
              <w:right w:val="single" w:sz="4" w:color="D9D9D9"/>
            </w:tcBorders>
            <w:shd w:fill="F4F8FC"/>
            <w:tcMar>
              <w:top w:w="80" w:type="dxa"/>
              <w:left w:w="80" w:type="dxa"/>
              <w:bottom w:w="80" w:type="dxa"/>
              <w:right w:w="80" w:type="dxa"/>
            </w:tcMar>
          </w:tcPr>
          <w:p>
            <w:pPr>
              <w:spacing w:after="40" w:line="252" w:lineRule="auto"/>
            </w:pPr>
            <w:r>
              <w:rPr>
                <w:rFonts w:ascii="CMU Serif" w:hAnsi="CMU Serif"/>
                <w:b w:val="0"/>
                <w:sz w:val="19"/>
              </w:rPr>
              <w:t>891; 342 survivors and 549 non-survivors</w:t>
            </w:r>
          </w:p>
        </w:tc>
      </w:tr>
      <w:tr>
        <w:trPr>
          <w:cantSplit/>
        </w:trPr>
        <w:tc>
          <w:tcPr>
            <w:tcW w:type="dxa" w:w="2376"/>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40" w:line="252" w:lineRule="auto"/>
            </w:pPr>
            <w:r>
              <w:rPr>
                <w:rFonts w:ascii="CMU Serif" w:hAnsi="CMU Serif"/>
                <w:b w:val="0"/>
                <w:sz w:val="19"/>
              </w:rPr>
              <w:t>Development / test</w:t>
            </w:r>
          </w:p>
        </w:tc>
        <w:tc>
          <w:tcPr>
            <w:tcW w:type="dxa" w:w="6408"/>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40" w:line="252" w:lineRule="auto"/>
            </w:pPr>
            <w:r>
              <w:rPr>
                <w:rFonts w:ascii="CMU Serif" w:hAnsi="CMU Serif"/>
                <w:b w:val="0"/>
                <w:sz w:val="19"/>
              </w:rPr>
              <w:t>712 / 179 records; stratified split, random seed 42</w:t>
            </w:r>
          </w:p>
        </w:tc>
      </w:tr>
      <w:tr>
        <w:trPr>
          <w:cantSplit/>
        </w:trPr>
        <w:tc>
          <w:tcPr>
            <w:tcW w:type="dxa" w:w="2376"/>
            <w:vAlign w:val="center"/>
            <w:tcBorders>
              <w:top w:val="single" w:sz="4" w:color="D9D9D9"/>
              <w:left w:val="single" w:sz="4" w:color="D9D9D9"/>
              <w:bottom w:val="single" w:sz="4" w:color="D9D9D9"/>
              <w:right w:val="single" w:sz="4" w:color="D9D9D9"/>
            </w:tcBorders>
            <w:shd w:fill="F4F8FC"/>
            <w:tcMar>
              <w:top w:w="80" w:type="dxa"/>
              <w:left w:w="80" w:type="dxa"/>
              <w:bottom w:w="80" w:type="dxa"/>
              <w:right w:w="80" w:type="dxa"/>
            </w:tcMar>
          </w:tcPr>
          <w:p>
            <w:pPr>
              <w:spacing w:after="40" w:line="252" w:lineRule="auto"/>
            </w:pPr>
            <w:r>
              <w:rPr>
                <w:rFonts w:ascii="CMU Serif" w:hAnsi="CMU Serif"/>
                <w:b w:val="0"/>
                <w:sz w:val="19"/>
              </w:rPr>
              <w:t>Model selection</w:t>
            </w:r>
          </w:p>
        </w:tc>
        <w:tc>
          <w:tcPr>
            <w:tcW w:type="dxa" w:w="6408"/>
            <w:vAlign w:val="center"/>
            <w:tcBorders>
              <w:top w:val="single" w:sz="4" w:color="D9D9D9"/>
              <w:left w:val="single" w:sz="4" w:color="D9D9D9"/>
              <w:bottom w:val="single" w:sz="4" w:color="D9D9D9"/>
              <w:right w:val="single" w:sz="4" w:color="D9D9D9"/>
            </w:tcBorders>
            <w:shd w:fill="F4F8FC"/>
            <w:tcMar>
              <w:top w:w="80" w:type="dxa"/>
              <w:left w:w="80" w:type="dxa"/>
              <w:bottom w:w="80" w:type="dxa"/>
              <w:right w:w="80" w:type="dxa"/>
            </w:tcMar>
          </w:tcPr>
          <w:p>
            <w:pPr>
              <w:spacing w:after="40" w:line="252" w:lineRule="auto"/>
            </w:pPr>
            <w:r>
              <w:rPr>
                <w:rFonts w:ascii="CMU Serif" w:hAnsi="CMU Serif"/>
                <w:b w:val="0"/>
                <w:sz w:val="19"/>
              </w:rPr>
              <w:t>Highest mean five-fold development ROC AUC</w:t>
            </w:r>
          </w:p>
        </w:tc>
      </w:tr>
      <w:tr>
        <w:trPr>
          <w:cantSplit/>
        </w:trPr>
        <w:tc>
          <w:tcPr>
            <w:tcW w:type="dxa" w:w="2376"/>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40" w:line="252" w:lineRule="auto"/>
            </w:pPr>
            <w:r>
              <w:rPr>
                <w:rFonts w:ascii="CMU Serif" w:hAnsi="CMU Serif"/>
                <w:b w:val="0"/>
                <w:sz w:val="19"/>
              </w:rPr>
              <w:t>Classification threshold</w:t>
            </w:r>
          </w:p>
        </w:tc>
        <w:tc>
          <w:tcPr>
            <w:tcW w:type="dxa" w:w="6408"/>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40" w:line="252" w:lineRule="auto"/>
            </w:pPr>
            <w:r>
              <w:rPr>
                <w:rFonts w:ascii="CMU Serif" w:hAnsi="CMU Serif"/>
                <w:b w:val="0"/>
                <w:sz w:val="19"/>
              </w:rPr>
              <w:t>0.50, fixed before test evaluation</w:t>
            </w:r>
          </w:p>
        </w:tc>
      </w:tr>
      <w:tr>
        <w:trPr>
          <w:cantSplit/>
        </w:trPr>
        <w:tc>
          <w:tcPr>
            <w:tcW w:type="dxa" w:w="2376"/>
            <w:vAlign w:val="center"/>
            <w:tcBorders>
              <w:top w:val="single" w:sz="4" w:color="D9D9D9"/>
              <w:left w:val="single" w:sz="4" w:color="D9D9D9"/>
              <w:bottom w:val="single" w:sz="4" w:color="D9D9D9"/>
              <w:right w:val="single" w:sz="4" w:color="D9D9D9"/>
            </w:tcBorders>
            <w:shd w:fill="F4F8FC"/>
            <w:tcMar>
              <w:top w:w="80" w:type="dxa"/>
              <w:left w:w="80" w:type="dxa"/>
              <w:bottom w:w="80" w:type="dxa"/>
              <w:right w:w="80" w:type="dxa"/>
            </w:tcMar>
          </w:tcPr>
          <w:p>
            <w:pPr>
              <w:spacing w:after="40" w:line="252" w:lineRule="auto"/>
            </w:pPr>
            <w:r>
              <w:rPr>
                <w:rFonts w:ascii="CMU Serif" w:hAnsi="CMU Serif"/>
                <w:b w:val="0"/>
                <w:sz w:val="19"/>
              </w:rPr>
              <w:t>Primary limitation</w:t>
            </w:r>
          </w:p>
        </w:tc>
        <w:tc>
          <w:tcPr>
            <w:tcW w:type="dxa" w:w="6408"/>
            <w:vAlign w:val="center"/>
            <w:tcBorders>
              <w:top w:val="single" w:sz="4" w:color="D9D9D9"/>
              <w:left w:val="single" w:sz="4" w:color="D9D9D9"/>
              <w:bottom w:val="single" w:sz="4" w:color="D9D9D9"/>
              <w:right w:val="single" w:sz="4" w:color="D9D9D9"/>
            </w:tcBorders>
            <w:shd w:fill="F4F8FC"/>
            <w:tcMar>
              <w:top w:w="80" w:type="dxa"/>
              <w:left w:w="80" w:type="dxa"/>
              <w:bottom w:w="80" w:type="dxa"/>
              <w:right w:w="80" w:type="dxa"/>
            </w:tcMar>
          </w:tcPr>
          <w:p>
            <w:pPr>
              <w:spacing w:after="40" w:line="252" w:lineRule="auto"/>
            </w:pPr>
            <w:r>
              <w:rPr>
                <w:rFonts w:ascii="CMU Serif" w:hAnsi="CMU Serif"/>
                <w:b w:val="0"/>
                <w:sz w:val="19"/>
              </w:rPr>
              <w:t>No independent external validation; related passengers may cross splits</w:t>
            </w:r>
          </w:p>
        </w:tc>
      </w:tr>
    </w:tbl>
    <w:p>
      <w:pPr>
        <w:spacing w:after="40"/>
      </w:pPr>
    </w:p>
    <w:p>
      <w:pPr>
        <w:pStyle w:val="Heading1"/>
        <w:pageBreakBefore/>
        <w:spacing w:before="0"/>
      </w:pPr>
      <w:r>
        <w:rPr>
          <w:rFonts w:ascii="CMU Serif" w:hAnsi="CMU Serif"/>
          <w:color w:val="0A1628"/>
        </w:rPr>
        <w:t>2.  Data preparation and leakage prevention</w:t>
      </w:r>
    </w:p>
    <w:p>
      <w:pPr>
        <w:ind w:firstLine="360"/>
        <w:jc w:val="both"/>
      </w:pPr>
      <w:r>
        <w:t>I load the original CSV through the shared hash-validated loader. I retain all 891 records: repeated feature profiles do not identify duplicate people because this dataset contains no passenger names, ticket identifiers or family IDs. The globally imputed Week 1 EDA table is not used for model fitting. Instead, preprocessing is learned separately within each training fold and then applied to its validation fold.</w:t>
      </w:r>
    </w:p>
    <w:tbl>
      <w:tblPr>
        <w:tblW w:type="auto" w:w="0"/>
        <w:jc w:val="center"/>
        <w:tblLayout w:type="fixed"/>
        <w:tblLook w:firstColumn="1" w:firstRow="1" w:lastColumn="0" w:lastRow="0" w:noHBand="0" w:noVBand="1" w:val="04A0"/>
      </w:tblPr>
      <w:tblGrid>
        <w:gridCol w:w="1800"/>
        <w:gridCol w:w="6984"/>
      </w:tblGrid>
      <w:tr>
        <w:trPr>
          <w:cantSplit/>
          <w:tblHeader/>
        </w:trPr>
        <w:tc>
          <w:tcPr>
            <w:tcW w:type="dxa" w:w="1800"/>
            <w:vAlign w:val="center"/>
            <w:tcBorders>
              <w:top w:val="single" w:sz="4" w:color="D9D9D9"/>
              <w:left w:val="single" w:sz="4" w:color="D9D9D9"/>
              <w:bottom w:val="single" w:sz="4" w:color="D9D9D9"/>
              <w:right w:val="single" w:sz="4" w:color="D9D9D9"/>
            </w:tcBorders>
            <w:shd w:fill="DCE7EF"/>
            <w:tcMar>
              <w:top w:w="80" w:type="dxa"/>
              <w:left w:w="80" w:type="dxa"/>
              <w:bottom w:w="80" w:type="dxa"/>
              <w:right w:w="80" w:type="dxa"/>
            </w:tcMar>
          </w:tcPr>
          <w:p>
            <w:pPr>
              <w:spacing w:after="40" w:line="252" w:lineRule="auto"/>
            </w:pPr>
            <w:r>
              <w:rPr>
                <w:rFonts w:ascii="CMU Serif" w:hAnsi="CMU Serif"/>
                <w:b/>
                <w:sz w:val="19"/>
              </w:rPr>
              <w:t>Input</w:t>
            </w:r>
          </w:p>
        </w:tc>
        <w:tc>
          <w:tcPr>
            <w:tcW w:type="dxa" w:w="6984"/>
            <w:vAlign w:val="center"/>
            <w:tcBorders>
              <w:top w:val="single" w:sz="4" w:color="D9D9D9"/>
              <w:left w:val="single" w:sz="4" w:color="D9D9D9"/>
              <w:bottom w:val="single" w:sz="4" w:color="D9D9D9"/>
              <w:right w:val="single" w:sz="4" w:color="D9D9D9"/>
            </w:tcBorders>
            <w:shd w:fill="DCE7EF"/>
            <w:tcMar>
              <w:top w:w="80" w:type="dxa"/>
              <w:left w:w="80" w:type="dxa"/>
              <w:bottom w:w="80" w:type="dxa"/>
              <w:right w:w="80" w:type="dxa"/>
            </w:tcMar>
          </w:tcPr>
          <w:p>
            <w:pPr>
              <w:spacing w:after="40" w:line="252" w:lineRule="auto"/>
            </w:pPr>
            <w:r>
              <w:rPr>
                <w:rFonts w:ascii="CMU Serif" w:hAnsi="CMU Serif"/>
                <w:b/>
                <w:sz w:val="19"/>
              </w:rPr>
              <w:t>Preparation and reason</w:t>
            </w:r>
          </w:p>
        </w:tc>
      </w:tr>
      <w:tr>
        <w:trPr>
          <w:cantSplit/>
        </w:trPr>
        <w:tc>
          <w:tcPr>
            <w:tcW w:type="dxa" w:w="1800"/>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40" w:line="252" w:lineRule="auto"/>
            </w:pPr>
            <w:r>
              <w:rPr>
                <w:rFonts w:ascii="CMU Serif" w:hAnsi="CMU Serif"/>
                <w:b w:val="0"/>
                <w:sz w:val="19"/>
              </w:rPr>
              <w:t>Age</w:t>
            </w:r>
          </w:p>
        </w:tc>
        <w:tc>
          <w:tcPr>
            <w:tcW w:type="dxa" w:w="6984"/>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40" w:line="252" w:lineRule="auto"/>
            </w:pPr>
            <w:r>
              <w:rPr>
                <w:rFonts w:ascii="CMU Serif" w:hAnsi="CMU Serif"/>
                <w:b w:val="0"/>
                <w:sz w:val="19"/>
              </w:rPr>
              <w:t>Median imputation within each training fold; a missingness indicator retains information about absent ages.</w:t>
            </w:r>
          </w:p>
        </w:tc>
      </w:tr>
      <w:tr>
        <w:trPr>
          <w:cantSplit/>
        </w:trPr>
        <w:tc>
          <w:tcPr>
            <w:tcW w:type="dxa" w:w="1800"/>
            <w:vAlign w:val="center"/>
            <w:tcBorders>
              <w:top w:val="single" w:sz="4" w:color="D9D9D9"/>
              <w:left w:val="single" w:sz="4" w:color="D9D9D9"/>
              <w:bottom w:val="single" w:sz="4" w:color="D9D9D9"/>
              <w:right w:val="single" w:sz="4" w:color="D9D9D9"/>
            </w:tcBorders>
            <w:shd w:fill="F4F8FC"/>
            <w:tcMar>
              <w:top w:w="80" w:type="dxa"/>
              <w:left w:w="80" w:type="dxa"/>
              <w:bottom w:w="80" w:type="dxa"/>
              <w:right w:w="80" w:type="dxa"/>
            </w:tcMar>
          </w:tcPr>
          <w:p>
            <w:pPr>
              <w:spacing w:after="40" w:line="252" w:lineRule="auto"/>
            </w:pPr>
            <w:r>
              <w:rPr>
                <w:rFonts w:ascii="CMU Serif" w:hAnsi="CMU Serif"/>
                <w:b w:val="0"/>
                <w:sz w:val="19"/>
              </w:rPr>
              <w:t>Fare</w:t>
            </w:r>
          </w:p>
        </w:tc>
        <w:tc>
          <w:tcPr>
            <w:tcW w:type="dxa" w:w="6984"/>
            <w:vAlign w:val="center"/>
            <w:tcBorders>
              <w:top w:val="single" w:sz="4" w:color="D9D9D9"/>
              <w:left w:val="single" w:sz="4" w:color="D9D9D9"/>
              <w:bottom w:val="single" w:sz="4" w:color="D9D9D9"/>
              <w:right w:val="single" w:sz="4" w:color="D9D9D9"/>
            </w:tcBorders>
            <w:shd w:fill="F4F8FC"/>
            <w:tcMar>
              <w:top w:w="80" w:type="dxa"/>
              <w:left w:w="80" w:type="dxa"/>
              <w:bottom w:w="80" w:type="dxa"/>
              <w:right w:w="80" w:type="dxa"/>
            </w:tcMar>
          </w:tcPr>
          <w:p>
            <w:pPr>
              <w:spacing w:after="40" w:line="252" w:lineRule="auto"/>
            </w:pPr>
            <w:r>
              <w:rPr>
                <w:rFonts w:ascii="CMU Serif" w:hAnsi="CMU Serif"/>
                <w:b w:val="0"/>
                <w:sz w:val="19"/>
              </w:rPr>
              <w:t>log(1 + fare) reduces the long right tail and permits zero fares; scaled inside the pipeline.</w:t>
            </w:r>
          </w:p>
        </w:tc>
      </w:tr>
      <w:tr>
        <w:trPr>
          <w:cantSplit/>
        </w:trPr>
        <w:tc>
          <w:tcPr>
            <w:tcW w:type="dxa" w:w="1800"/>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40" w:line="252" w:lineRule="auto"/>
            </w:pPr>
            <w:r>
              <w:rPr>
                <w:rFonts w:ascii="CMU Serif" w:hAnsi="CMU Serif"/>
                <w:b w:val="0"/>
                <w:sz w:val="19"/>
              </w:rPr>
              <w:t>Passenger class</w:t>
            </w:r>
          </w:p>
        </w:tc>
        <w:tc>
          <w:tcPr>
            <w:tcW w:type="dxa" w:w="6984"/>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40" w:line="252" w:lineRule="auto"/>
            </w:pPr>
            <w:r>
              <w:rPr>
                <w:rFonts w:ascii="CMU Serif" w:hAnsi="CMU Serif"/>
                <w:b w:val="0"/>
                <w:sz w:val="19"/>
              </w:rPr>
              <w:t>One-hot encoded so the model does not require equal effects between classes.</w:t>
            </w:r>
          </w:p>
        </w:tc>
      </w:tr>
      <w:tr>
        <w:trPr>
          <w:cantSplit/>
        </w:trPr>
        <w:tc>
          <w:tcPr>
            <w:tcW w:type="dxa" w:w="1800"/>
            <w:vAlign w:val="center"/>
            <w:tcBorders>
              <w:top w:val="single" w:sz="4" w:color="D9D9D9"/>
              <w:left w:val="single" w:sz="4" w:color="D9D9D9"/>
              <w:bottom w:val="single" w:sz="4" w:color="D9D9D9"/>
              <w:right w:val="single" w:sz="4" w:color="D9D9D9"/>
            </w:tcBorders>
            <w:shd w:fill="F4F8FC"/>
            <w:tcMar>
              <w:top w:w="80" w:type="dxa"/>
              <w:left w:w="80" w:type="dxa"/>
              <w:bottom w:w="80" w:type="dxa"/>
              <w:right w:w="80" w:type="dxa"/>
            </w:tcMar>
          </w:tcPr>
          <w:p>
            <w:pPr>
              <w:spacing w:after="40" w:line="252" w:lineRule="auto"/>
            </w:pPr>
            <w:r>
              <w:rPr>
                <w:rFonts w:ascii="CMU Serif" w:hAnsi="CMU Serif"/>
                <w:b w:val="0"/>
                <w:sz w:val="19"/>
              </w:rPr>
              <w:t>Sex and embarked</w:t>
            </w:r>
          </w:p>
        </w:tc>
        <w:tc>
          <w:tcPr>
            <w:tcW w:type="dxa" w:w="6984"/>
            <w:vAlign w:val="center"/>
            <w:tcBorders>
              <w:top w:val="single" w:sz="4" w:color="D9D9D9"/>
              <w:left w:val="single" w:sz="4" w:color="D9D9D9"/>
              <w:bottom w:val="single" w:sz="4" w:color="D9D9D9"/>
              <w:right w:val="single" w:sz="4" w:color="D9D9D9"/>
            </w:tcBorders>
            <w:shd w:fill="F4F8FC"/>
            <w:tcMar>
              <w:top w:w="80" w:type="dxa"/>
              <w:left w:w="80" w:type="dxa"/>
              <w:bottom w:w="80" w:type="dxa"/>
              <w:right w:w="80" w:type="dxa"/>
            </w:tcMar>
          </w:tcPr>
          <w:p>
            <w:pPr>
              <w:spacing w:after="40" w:line="252" w:lineRule="auto"/>
            </w:pPr>
            <w:r>
              <w:rPr>
                <w:rFonts w:ascii="CMU Serif" w:hAnsi="CMU Serif"/>
                <w:b w:val="0"/>
                <w:sz w:val="19"/>
              </w:rPr>
              <w:t>Categorical encoding; mode imputation fitted only on training records.</w:t>
            </w:r>
          </w:p>
        </w:tc>
      </w:tr>
      <w:tr>
        <w:trPr>
          <w:cantSplit/>
        </w:trPr>
        <w:tc>
          <w:tcPr>
            <w:tcW w:type="dxa" w:w="1800"/>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40" w:line="252" w:lineRule="auto"/>
            </w:pPr>
            <w:r>
              <w:rPr>
                <w:rFonts w:ascii="CMU Serif" w:hAnsi="CMU Serif"/>
                <w:b w:val="0"/>
                <w:sz w:val="19"/>
              </w:rPr>
              <w:t>Family group</w:t>
            </w:r>
          </w:p>
        </w:tc>
        <w:tc>
          <w:tcPr>
            <w:tcW w:type="dxa" w:w="6984"/>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40" w:line="252" w:lineRule="auto"/>
            </w:pPr>
            <w:r>
              <w:rPr>
                <w:rFonts w:ascii="CMU Serif" w:hAnsi="CMU Serif"/>
                <w:b w:val="0"/>
                <w:sz w:val="19"/>
              </w:rPr>
              <w:t>sibsp + parch + 1 grouped as solo, 2–4, or 5+; one-hot encoding represents a non-linear pattern.</w:t>
            </w:r>
          </w:p>
        </w:tc>
      </w:tr>
    </w:tbl>
    <w:p>
      <w:pPr>
        <w:spacing w:after="40"/>
      </w:pPr>
    </w:p>
    <w:p>
      <w:pPr>
        <w:ind w:firstLine="360"/>
        <w:jc w:val="both"/>
      </w:pPr>
      <w:r>
        <w:t>There are 177 missing ages and two missing embarkation values in the source data. Numerical inputs are standardized after imputation. Categorical encoding ignores previously unseen categories at prediction time, avoiding a runtime failure while highlighting the need to monitor new categories in any future application. Deterministic transformations such as log fare and family-group construction do not estimate parameters from the dataset.</w:t>
      </w:r>
    </w:p>
    <w:p>
      <w:pPr>
        <w:pStyle w:val="Heading2"/>
      </w:pPr>
      <w:r>
        <w:rPr>
          <w:rFonts w:ascii="CMU Serif" w:hAnsi="CMU Serif"/>
          <w:color w:val="0A1628"/>
        </w:rPr>
        <w:t>Excluded variables</w:t>
      </w:r>
    </w:p>
    <w:p>
      <w:pPr>
        <w:ind w:firstLine="360"/>
        <w:jc w:val="both"/>
      </w:pPr>
      <w:r>
        <w:t>The alive column is excluded because it directly restates the outcome and would cause target leakage. The class label duplicates pclass. The who, adult_male and alone fields are derived from retained characteristics and are omitted for a simpler, explicit feature set; redundancy itself is not automatically target leakage. Deck is excluded because 688 of 891 values are missing. sibsp and parch are used only to construct family group.</w:t>
      </w:r>
    </w:p>
    <w:p>
      <w:pPr>
        <w:ind w:firstLine="360"/>
        <w:jc w:val="both"/>
      </w:pPr>
      <w:r>
        <w:t>A scikit-learn Pipeline contains imputation, encoding, scaling and the estimator. Cross-validation receives the entire pipeline, so validation records cannot influence fitted medians, modes or scaling statistics. The test set is not used for hyperparameter selection or threshold changes. This follows the pipeline and leakage-prevention practices in references [2] and [3].</w:t>
      </w:r>
    </w:p>
    <w:p>
      <w:pPr>
        <w:pStyle w:val="Heading1"/>
        <w:pageBreakBefore/>
        <w:spacing w:before="0"/>
      </w:pPr>
      <w:r>
        <w:rPr>
          <w:rFonts w:ascii="CMU Serif" w:hAnsi="CMU Serif"/>
          <w:color w:val="0A1628"/>
        </w:rPr>
        <w:t>3.  Model selection and training</w:t>
      </w:r>
    </w:p>
    <w:p>
      <w:pPr>
        <w:ind w:firstLine="360"/>
        <w:jc w:val="both"/>
      </w:pPr>
      <w:r>
        <w:t>I compare a majority-class baseline with two simple supervised classifiers. All models use the same split, folds and permitted input information. No hyperparameter search was performed: the settings below were fixed for an interpretable introductory comparison. The baseline predicts the development-set survival prevalence as a constant probability; at threshold 0.50 it predicts non-survival for everyone.</w:t>
      </w:r>
    </w:p>
    <w:tbl>
      <w:tblPr>
        <w:tblW w:type="auto" w:w="0"/>
        <w:jc w:val="center"/>
        <w:tblLayout w:type="fixed"/>
        <w:tblLook w:firstColumn="1" w:firstRow="1" w:lastColumn="0" w:lastRow="0" w:noHBand="0" w:noVBand="1" w:val="04A0"/>
      </w:tblPr>
      <w:tblGrid>
        <w:gridCol w:w="2088"/>
        <w:gridCol w:w="6696"/>
      </w:tblGrid>
      <w:tr>
        <w:trPr>
          <w:cantSplit/>
          <w:tblHeader/>
        </w:trPr>
        <w:tc>
          <w:tcPr>
            <w:tcW w:type="dxa" w:w="2088"/>
            <w:vAlign w:val="center"/>
            <w:tcBorders>
              <w:top w:val="single" w:sz="4" w:color="D9D9D9"/>
              <w:left w:val="single" w:sz="4" w:color="D9D9D9"/>
              <w:bottom w:val="single" w:sz="4" w:color="D9D9D9"/>
              <w:right w:val="single" w:sz="4" w:color="D9D9D9"/>
            </w:tcBorders>
            <w:shd w:fill="DCE7EF"/>
            <w:tcMar>
              <w:top w:w="80" w:type="dxa"/>
              <w:left w:w="80" w:type="dxa"/>
              <w:bottom w:w="80" w:type="dxa"/>
              <w:right w:w="80" w:type="dxa"/>
            </w:tcMar>
          </w:tcPr>
          <w:p>
            <w:pPr>
              <w:spacing w:after="40" w:line="252" w:lineRule="auto"/>
            </w:pPr>
            <w:r>
              <w:rPr>
                <w:rFonts w:ascii="CMU Serif" w:hAnsi="CMU Serif"/>
                <w:b/>
                <w:sz w:val="19"/>
              </w:rPr>
              <w:t>Candidate</w:t>
            </w:r>
          </w:p>
        </w:tc>
        <w:tc>
          <w:tcPr>
            <w:tcW w:type="dxa" w:w="6696"/>
            <w:vAlign w:val="center"/>
            <w:tcBorders>
              <w:top w:val="single" w:sz="4" w:color="D9D9D9"/>
              <w:left w:val="single" w:sz="4" w:color="D9D9D9"/>
              <w:bottom w:val="single" w:sz="4" w:color="D9D9D9"/>
              <w:right w:val="single" w:sz="4" w:color="D9D9D9"/>
            </w:tcBorders>
            <w:shd w:fill="DCE7EF"/>
            <w:tcMar>
              <w:top w:w="80" w:type="dxa"/>
              <w:left w:w="80" w:type="dxa"/>
              <w:bottom w:w="80" w:type="dxa"/>
              <w:right w:w="80" w:type="dxa"/>
            </w:tcMar>
          </w:tcPr>
          <w:p>
            <w:pPr>
              <w:spacing w:after="40" w:line="252" w:lineRule="auto"/>
            </w:pPr>
            <w:r>
              <w:rPr>
                <w:rFonts w:ascii="CMU Serif" w:hAnsi="CMU Serif"/>
                <w:b/>
                <w:sz w:val="19"/>
              </w:rPr>
              <w:t>Settings and rationale</w:t>
            </w:r>
          </w:p>
        </w:tc>
      </w:tr>
      <w:tr>
        <w:trPr>
          <w:cantSplit/>
        </w:trPr>
        <w:tc>
          <w:tcPr>
            <w:tcW w:type="dxa" w:w="2088"/>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40" w:line="252" w:lineRule="auto"/>
            </w:pPr>
            <w:r>
              <w:rPr>
                <w:rFonts w:ascii="CMU Serif" w:hAnsi="CMU Serif"/>
                <w:b w:val="0"/>
                <w:sz w:val="19"/>
              </w:rPr>
              <w:t>Majority baseline</w:t>
            </w:r>
          </w:p>
        </w:tc>
        <w:tc>
          <w:tcPr>
            <w:tcW w:type="dxa" w:w="6696"/>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40" w:line="252" w:lineRule="auto"/>
            </w:pPr>
            <w:r>
              <w:rPr>
                <w:rFonts w:ascii="CMU Serif" w:hAnsi="CMU Serif"/>
                <w:b w:val="0"/>
                <w:sz w:val="19"/>
              </w:rPr>
              <w:t>DummyClassifier(strategy="prior"); establishes whether learned features add value.</w:t>
            </w:r>
          </w:p>
        </w:tc>
      </w:tr>
      <w:tr>
        <w:trPr>
          <w:cantSplit/>
        </w:trPr>
        <w:tc>
          <w:tcPr>
            <w:tcW w:type="dxa" w:w="2088"/>
            <w:vAlign w:val="center"/>
            <w:tcBorders>
              <w:top w:val="single" w:sz="4" w:color="D9D9D9"/>
              <w:left w:val="single" w:sz="4" w:color="D9D9D9"/>
              <w:bottom w:val="single" w:sz="4" w:color="D9D9D9"/>
              <w:right w:val="single" w:sz="4" w:color="D9D9D9"/>
            </w:tcBorders>
            <w:shd w:fill="F4F8FC"/>
            <w:tcMar>
              <w:top w:w="80" w:type="dxa"/>
              <w:left w:w="80" w:type="dxa"/>
              <w:bottom w:w="80" w:type="dxa"/>
              <w:right w:w="80" w:type="dxa"/>
            </w:tcMar>
          </w:tcPr>
          <w:p>
            <w:pPr>
              <w:spacing w:after="40" w:line="252" w:lineRule="auto"/>
            </w:pPr>
            <w:r>
              <w:rPr>
                <w:rFonts w:ascii="CMU Serif" w:hAnsi="CMU Serif"/>
                <w:b w:val="0"/>
                <w:sz w:val="19"/>
              </w:rPr>
              <w:t>Logistic regression</w:t>
            </w:r>
          </w:p>
        </w:tc>
        <w:tc>
          <w:tcPr>
            <w:tcW w:type="dxa" w:w="6696"/>
            <w:vAlign w:val="center"/>
            <w:tcBorders>
              <w:top w:val="single" w:sz="4" w:color="D9D9D9"/>
              <w:left w:val="single" w:sz="4" w:color="D9D9D9"/>
              <w:bottom w:val="single" w:sz="4" w:color="D9D9D9"/>
              <w:right w:val="single" w:sz="4" w:color="D9D9D9"/>
            </w:tcBorders>
            <w:shd w:fill="F4F8FC"/>
            <w:tcMar>
              <w:top w:w="80" w:type="dxa"/>
              <w:left w:w="80" w:type="dxa"/>
              <w:bottom w:w="80" w:type="dxa"/>
              <w:right w:w="80" w:type="dxa"/>
            </w:tcMar>
          </w:tcPr>
          <w:p>
            <w:pPr>
              <w:spacing w:after="40" w:line="252" w:lineRule="auto"/>
            </w:pPr>
            <w:r>
              <w:rPr>
                <w:rFonts w:ascii="CMU Serif" w:hAnsi="CMU Serif"/>
                <w:b w:val="0"/>
                <w:sz w:val="19"/>
              </w:rPr>
              <w:t>C=1, default L2 regularization, max_iter=2000. A stable additive model that outputs class probabilities.</w:t>
            </w:r>
          </w:p>
        </w:tc>
      </w:tr>
      <w:tr>
        <w:trPr>
          <w:cantSplit/>
        </w:trPr>
        <w:tc>
          <w:tcPr>
            <w:tcW w:type="dxa" w:w="2088"/>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40" w:line="252" w:lineRule="auto"/>
            </w:pPr>
            <w:r>
              <w:rPr>
                <w:rFonts w:ascii="CMU Serif" w:hAnsi="CMU Serif"/>
                <w:b w:val="0"/>
                <w:sz w:val="19"/>
              </w:rPr>
              <w:t>Decision tree</w:t>
            </w:r>
          </w:p>
        </w:tc>
        <w:tc>
          <w:tcPr>
            <w:tcW w:type="dxa" w:w="6696"/>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40" w:line="252" w:lineRule="auto"/>
            </w:pPr>
            <w:r>
              <w:rPr>
                <w:rFonts w:ascii="CMU Serif" w:hAnsi="CMU Serif"/>
                <w:b w:val="0"/>
                <w:sz w:val="19"/>
              </w:rPr>
              <w:t>max_depth=4, min_samples_leaf=10, random_state=42. Captures interactions and non-linear splits while limiting complexity.</w:t>
            </w:r>
          </w:p>
        </w:tc>
      </w:tr>
    </w:tbl>
    <w:p>
      <w:pPr>
        <w:spacing w:after="40"/>
      </w:pPr>
    </w:p>
    <w:p>
      <w:pPr>
        <w:ind w:firstLine="360"/>
        <w:jc w:val="both"/>
      </w:pPr>
      <w:r>
        <w:t>The development set contains 273 survivors and 439 non-survivors. Five shuffled stratified folds preserve approximate class balance. ROC AUC is the selection criterion because it measures ranking across thresholds. Accuracy and F1 are also recorded. Cross-validation standard deviations summarize fold variation; they are not confidence intervals and do not prove a statistically significant difference between models.</w:t>
      </w:r>
    </w:p>
    <w:tbl>
      <w:tblPr>
        <w:tblW w:type="auto" w:w="0"/>
        <w:jc w:val="center"/>
        <w:tblLayout w:type="fixed"/>
        <w:tblLook w:firstColumn="1" w:firstRow="1" w:lastColumn="0" w:lastRow="0" w:noHBand="0" w:noVBand="1" w:val="04A0"/>
      </w:tblPr>
      <w:tblGrid>
        <w:gridCol w:w="3600"/>
        <w:gridCol w:w="1728"/>
        <w:gridCol w:w="1728"/>
        <w:gridCol w:w="1728"/>
      </w:tblGrid>
      <w:tr>
        <w:trPr>
          <w:cantSplit/>
          <w:tblHeader/>
        </w:trPr>
        <w:tc>
          <w:tcPr>
            <w:tcW w:type="dxa" w:w="3600"/>
            <w:vAlign w:val="center"/>
            <w:tcBorders>
              <w:top w:val="single" w:sz="4" w:color="D9D9D9"/>
              <w:left w:val="single" w:sz="4" w:color="D9D9D9"/>
              <w:bottom w:val="single" w:sz="4" w:color="D9D9D9"/>
              <w:right w:val="single" w:sz="4" w:color="D9D9D9"/>
            </w:tcBorders>
            <w:shd w:fill="DCE7EF"/>
            <w:tcMar>
              <w:top w:w="80" w:type="dxa"/>
              <w:left w:w="80" w:type="dxa"/>
              <w:bottom w:w="80" w:type="dxa"/>
              <w:right w:w="80" w:type="dxa"/>
            </w:tcMar>
          </w:tcPr>
          <w:p>
            <w:pPr>
              <w:spacing w:after="40" w:line="252" w:lineRule="auto"/>
            </w:pPr>
            <w:r>
              <w:rPr>
                <w:rFonts w:ascii="CMU Serif" w:hAnsi="CMU Serif"/>
                <w:b/>
                <w:sz w:val="19"/>
              </w:rPr>
              <w:t>Model</w:t>
            </w:r>
          </w:p>
        </w:tc>
        <w:tc>
          <w:tcPr>
            <w:tcW w:type="dxa" w:w="1728"/>
            <w:vAlign w:val="center"/>
            <w:tcBorders>
              <w:top w:val="single" w:sz="4" w:color="D9D9D9"/>
              <w:left w:val="single" w:sz="4" w:color="D9D9D9"/>
              <w:bottom w:val="single" w:sz="4" w:color="D9D9D9"/>
              <w:right w:val="single" w:sz="4" w:color="D9D9D9"/>
            </w:tcBorders>
            <w:shd w:fill="DCE7EF"/>
            <w:tcMar>
              <w:top w:w="80" w:type="dxa"/>
              <w:left w:w="80" w:type="dxa"/>
              <w:bottom w:w="80" w:type="dxa"/>
              <w:right w:w="80" w:type="dxa"/>
            </w:tcMar>
          </w:tcPr>
          <w:p>
            <w:pPr>
              <w:spacing w:after="40" w:line="252" w:lineRule="auto"/>
            </w:pPr>
            <w:r>
              <w:rPr>
                <w:rFonts w:ascii="CMU Serif" w:hAnsi="CMU Serif"/>
                <w:b/>
                <w:sz w:val="19"/>
              </w:rPr>
              <w:t>Train AUC¹</w:t>
            </w:r>
          </w:p>
        </w:tc>
        <w:tc>
          <w:tcPr>
            <w:tcW w:type="dxa" w:w="1728"/>
            <w:vAlign w:val="center"/>
            <w:tcBorders>
              <w:top w:val="single" w:sz="4" w:color="D9D9D9"/>
              <w:left w:val="single" w:sz="4" w:color="D9D9D9"/>
              <w:bottom w:val="single" w:sz="4" w:color="D9D9D9"/>
              <w:right w:val="single" w:sz="4" w:color="D9D9D9"/>
            </w:tcBorders>
            <w:shd w:fill="DCE7EF"/>
            <w:tcMar>
              <w:top w:w="80" w:type="dxa"/>
              <w:left w:w="80" w:type="dxa"/>
              <w:bottom w:w="80" w:type="dxa"/>
              <w:right w:w="80" w:type="dxa"/>
            </w:tcMar>
          </w:tcPr>
          <w:p>
            <w:pPr>
              <w:spacing w:after="40" w:line="252" w:lineRule="auto"/>
            </w:pPr>
            <w:r>
              <w:rPr>
                <w:rFonts w:ascii="CMU Serif" w:hAnsi="CMU Serif"/>
                <w:b/>
                <w:sz w:val="19"/>
              </w:rPr>
              <w:t>CV AUC</w:t>
            </w:r>
          </w:p>
        </w:tc>
        <w:tc>
          <w:tcPr>
            <w:tcW w:type="dxa" w:w="1728"/>
            <w:vAlign w:val="center"/>
            <w:tcBorders>
              <w:top w:val="single" w:sz="4" w:color="D9D9D9"/>
              <w:left w:val="single" w:sz="4" w:color="D9D9D9"/>
              <w:bottom w:val="single" w:sz="4" w:color="D9D9D9"/>
              <w:right w:val="single" w:sz="4" w:color="D9D9D9"/>
            </w:tcBorders>
            <w:shd w:fill="DCE7EF"/>
            <w:tcMar>
              <w:top w:w="80" w:type="dxa"/>
              <w:left w:w="80" w:type="dxa"/>
              <w:bottom w:w="80" w:type="dxa"/>
              <w:right w:w="80" w:type="dxa"/>
            </w:tcMar>
          </w:tcPr>
          <w:p>
            <w:pPr>
              <w:spacing w:after="40" w:line="252" w:lineRule="auto"/>
            </w:pPr>
            <w:r>
              <w:rPr>
                <w:rFonts w:ascii="CMU Serif" w:hAnsi="CMU Serif"/>
                <w:b/>
                <w:sz w:val="19"/>
              </w:rPr>
              <w:t>CV SD</w:t>
            </w:r>
          </w:p>
        </w:tc>
      </w:tr>
      <w:tr>
        <w:trPr>
          <w:cantSplit/>
        </w:trPr>
        <w:tc>
          <w:tcPr>
            <w:tcW w:type="dxa" w:w="3600"/>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40" w:line="252" w:lineRule="auto"/>
            </w:pPr>
            <w:r>
              <w:rPr>
                <w:rFonts w:ascii="CMU Serif" w:hAnsi="CMU Serif"/>
                <w:b w:val="0"/>
                <w:sz w:val="19"/>
              </w:rPr>
              <w:t>Majority baseline</w:t>
            </w:r>
          </w:p>
        </w:tc>
        <w:tc>
          <w:tcPr>
            <w:tcW w:type="dxa" w:w="1728"/>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40" w:line="252" w:lineRule="auto"/>
            </w:pPr>
            <w:r>
              <w:rPr>
                <w:rFonts w:ascii="CMU Serif" w:hAnsi="CMU Serif"/>
                <w:b w:val="0"/>
                <w:sz w:val="19"/>
              </w:rPr>
              <w:t>0.500</w:t>
            </w:r>
          </w:p>
        </w:tc>
        <w:tc>
          <w:tcPr>
            <w:tcW w:type="dxa" w:w="1728"/>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40" w:line="252" w:lineRule="auto"/>
            </w:pPr>
            <w:r>
              <w:rPr>
                <w:rFonts w:ascii="CMU Serif" w:hAnsi="CMU Serif"/>
                <w:b w:val="0"/>
                <w:sz w:val="19"/>
              </w:rPr>
              <w:t>0.500</w:t>
            </w:r>
          </w:p>
        </w:tc>
        <w:tc>
          <w:tcPr>
            <w:tcW w:type="dxa" w:w="1728"/>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40" w:line="252" w:lineRule="auto"/>
            </w:pPr>
            <w:r>
              <w:rPr>
                <w:rFonts w:ascii="CMU Serif" w:hAnsi="CMU Serif"/>
                <w:b w:val="0"/>
                <w:sz w:val="19"/>
              </w:rPr>
              <w:t>0.000</w:t>
            </w:r>
          </w:p>
        </w:tc>
      </w:tr>
      <w:tr>
        <w:trPr>
          <w:cantSplit/>
        </w:trPr>
        <w:tc>
          <w:tcPr>
            <w:tcW w:type="dxa" w:w="3600"/>
            <w:vAlign w:val="center"/>
            <w:tcBorders>
              <w:top w:val="single" w:sz="4" w:color="D9D9D9"/>
              <w:left w:val="single" w:sz="4" w:color="D9D9D9"/>
              <w:bottom w:val="single" w:sz="4" w:color="D9D9D9"/>
              <w:right w:val="single" w:sz="4" w:color="D9D9D9"/>
            </w:tcBorders>
            <w:shd w:fill="F4F8FC"/>
            <w:tcMar>
              <w:top w:w="80" w:type="dxa"/>
              <w:left w:w="80" w:type="dxa"/>
              <w:bottom w:w="80" w:type="dxa"/>
              <w:right w:w="80" w:type="dxa"/>
            </w:tcMar>
          </w:tcPr>
          <w:p>
            <w:pPr>
              <w:spacing w:after="40" w:line="252" w:lineRule="auto"/>
            </w:pPr>
            <w:r>
              <w:rPr>
                <w:rFonts w:ascii="CMU Serif" w:hAnsi="CMU Serif"/>
                <w:b w:val="0"/>
                <w:sz w:val="19"/>
              </w:rPr>
              <w:t>Logistic regression</w:t>
            </w:r>
          </w:p>
        </w:tc>
        <w:tc>
          <w:tcPr>
            <w:tcW w:type="dxa" w:w="1728"/>
            <w:vAlign w:val="center"/>
            <w:tcBorders>
              <w:top w:val="single" w:sz="4" w:color="D9D9D9"/>
              <w:left w:val="single" w:sz="4" w:color="D9D9D9"/>
              <w:bottom w:val="single" w:sz="4" w:color="D9D9D9"/>
              <w:right w:val="single" w:sz="4" w:color="D9D9D9"/>
            </w:tcBorders>
            <w:shd w:fill="F4F8FC"/>
            <w:tcMar>
              <w:top w:w="80" w:type="dxa"/>
              <w:left w:w="80" w:type="dxa"/>
              <w:bottom w:w="80" w:type="dxa"/>
              <w:right w:w="80" w:type="dxa"/>
            </w:tcMar>
          </w:tcPr>
          <w:p>
            <w:pPr>
              <w:spacing w:after="40" w:line="252" w:lineRule="auto"/>
            </w:pPr>
            <w:r>
              <w:rPr>
                <w:rFonts w:ascii="CMU Serif" w:hAnsi="CMU Serif"/>
                <w:b w:val="0"/>
                <w:sz w:val="19"/>
              </w:rPr>
              <w:t>0.873</w:t>
            </w:r>
          </w:p>
        </w:tc>
        <w:tc>
          <w:tcPr>
            <w:tcW w:type="dxa" w:w="1728"/>
            <w:vAlign w:val="center"/>
            <w:tcBorders>
              <w:top w:val="single" w:sz="4" w:color="D9D9D9"/>
              <w:left w:val="single" w:sz="4" w:color="D9D9D9"/>
              <w:bottom w:val="single" w:sz="4" w:color="D9D9D9"/>
              <w:right w:val="single" w:sz="4" w:color="D9D9D9"/>
            </w:tcBorders>
            <w:shd w:fill="F4F8FC"/>
            <w:tcMar>
              <w:top w:w="80" w:type="dxa"/>
              <w:left w:w="80" w:type="dxa"/>
              <w:bottom w:w="80" w:type="dxa"/>
              <w:right w:w="80" w:type="dxa"/>
            </w:tcMar>
          </w:tcPr>
          <w:p>
            <w:pPr>
              <w:spacing w:after="40" w:line="252" w:lineRule="auto"/>
            </w:pPr>
            <w:r>
              <w:rPr>
                <w:rFonts w:ascii="CMU Serif" w:hAnsi="CMU Serif"/>
                <w:b w:val="0"/>
                <w:sz w:val="19"/>
              </w:rPr>
              <w:t>0.866</w:t>
            </w:r>
          </w:p>
        </w:tc>
        <w:tc>
          <w:tcPr>
            <w:tcW w:type="dxa" w:w="1728"/>
            <w:vAlign w:val="center"/>
            <w:tcBorders>
              <w:top w:val="single" w:sz="4" w:color="D9D9D9"/>
              <w:left w:val="single" w:sz="4" w:color="D9D9D9"/>
              <w:bottom w:val="single" w:sz="4" w:color="D9D9D9"/>
              <w:right w:val="single" w:sz="4" w:color="D9D9D9"/>
            </w:tcBorders>
            <w:shd w:fill="F4F8FC"/>
            <w:tcMar>
              <w:top w:w="80" w:type="dxa"/>
              <w:left w:w="80" w:type="dxa"/>
              <w:bottom w:w="80" w:type="dxa"/>
              <w:right w:w="80" w:type="dxa"/>
            </w:tcMar>
          </w:tcPr>
          <w:p>
            <w:pPr>
              <w:spacing w:after="40" w:line="252" w:lineRule="auto"/>
            </w:pPr>
            <w:r>
              <w:rPr>
                <w:rFonts w:ascii="CMU Serif" w:hAnsi="CMU Serif"/>
                <w:b w:val="0"/>
                <w:sz w:val="19"/>
              </w:rPr>
              <w:t>0.021</w:t>
            </w:r>
          </w:p>
        </w:tc>
      </w:tr>
      <w:tr>
        <w:trPr>
          <w:cantSplit/>
        </w:trPr>
        <w:tc>
          <w:tcPr>
            <w:tcW w:type="dxa" w:w="3600"/>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40" w:line="252" w:lineRule="auto"/>
            </w:pPr>
            <w:r>
              <w:rPr>
                <w:rFonts w:ascii="CMU Serif" w:hAnsi="CMU Serif"/>
                <w:b w:val="0"/>
                <w:sz w:val="19"/>
              </w:rPr>
              <w:t>Decision tree</w:t>
            </w:r>
          </w:p>
        </w:tc>
        <w:tc>
          <w:tcPr>
            <w:tcW w:type="dxa" w:w="1728"/>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40" w:line="252" w:lineRule="auto"/>
            </w:pPr>
            <w:r>
              <w:rPr>
                <w:rFonts w:ascii="CMU Serif" w:hAnsi="CMU Serif"/>
                <w:b w:val="0"/>
                <w:sz w:val="19"/>
              </w:rPr>
              <w:t>0.889</w:t>
            </w:r>
          </w:p>
        </w:tc>
        <w:tc>
          <w:tcPr>
            <w:tcW w:type="dxa" w:w="1728"/>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40" w:line="252" w:lineRule="auto"/>
            </w:pPr>
            <w:r>
              <w:rPr>
                <w:rFonts w:ascii="CMU Serif" w:hAnsi="CMU Serif"/>
                <w:b w:val="0"/>
                <w:sz w:val="19"/>
              </w:rPr>
              <w:t>0.853</w:t>
            </w:r>
          </w:p>
        </w:tc>
        <w:tc>
          <w:tcPr>
            <w:tcW w:type="dxa" w:w="1728"/>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40" w:line="252" w:lineRule="auto"/>
            </w:pPr>
            <w:r>
              <w:rPr>
                <w:rFonts w:ascii="CMU Serif" w:hAnsi="CMU Serif"/>
                <w:b w:val="0"/>
                <w:sz w:val="19"/>
              </w:rPr>
              <w:t>0.021</w:t>
            </w:r>
          </w:p>
        </w:tc>
      </w:tr>
    </w:tbl>
    <w:p>
      <w:pPr>
        <w:spacing w:after="40"/>
      </w:pPr>
    </w:p>
    <w:p>
      <w:pPr>
        <w:pStyle w:val="Caption"/>
      </w:pPr>
      <w:r>
        <w:t>¹ Mean training-fold AUC from the same cross-validation procedure.</w:t>
      </w:r>
    </w:p>
    <w:p>
      <w:pPr>
        <w:ind w:firstLine="360"/>
        <w:jc w:val="both"/>
      </w:pPr>
      <w:r>
        <w:t>Logistic regression has the highest mean development AUC (0.866 versus 0.853 for the tree) and is selected before test probabilities are examined. The difference is modest relative to fold variation. Each candidate is refitted on all 712 development records for the final comparison, but no candidate is refitted on the test set.</w:t>
      </w:r>
    </w:p>
    <w:p>
      <w:pPr>
        <w:ind w:firstLine="360"/>
        <w:jc w:val="both"/>
      </w:pPr>
      <w:r>
        <w:t>The mean train-to-validation AUC gap is approximately 0.007 for logistic regression and 0.036 for the tree. The larger tree gap suggests more overfitting in this comparison. Logistic regression can still underfit interactions: its additive form does not explicitly model the sex-by-class interaction identified in Week 3. An interaction model is therefore a future candidate, not an improvement established by these results.</w:t>
      </w:r>
    </w:p>
    <w:p>
      <w:pPr>
        <w:pStyle w:val="Heading1"/>
        <w:pageBreakBefore/>
        <w:spacing w:before="0"/>
      </w:pPr>
      <w:r>
        <w:rPr>
          <w:rFonts w:ascii="CMU Serif" w:hAnsi="CMU Serif"/>
          <w:color w:val="0A1628"/>
        </w:rPr>
        <w:t>4.  Overall model performance</w:t>
      </w:r>
    </w:p>
    <w:p>
      <w:pPr>
        <w:keepNext/>
        <w:jc w:val="center"/>
      </w:pPr>
      <w:r>
        <w:drawing>
          <wp:inline xmlns:a="http://schemas.openxmlformats.org/drawingml/2006/main" xmlns:pic="http://schemas.openxmlformats.org/drawingml/2006/picture">
            <wp:extent cx="5212080" cy="2895600"/>
            <wp:docPr id="1" name="Picture 1"/>
            <wp:cNvGraphicFramePr>
              <a:graphicFrameLocks noChangeAspect="1"/>
            </wp:cNvGraphicFramePr>
            <a:graphic>
              <a:graphicData uri="http://schemas.openxmlformats.org/drawingml/2006/picture">
                <pic:pic>
                  <pic:nvPicPr>
                    <pic:cNvPr id="0" name="01_model_comparison.png"/>
                    <pic:cNvPicPr/>
                  </pic:nvPicPr>
                  <pic:blipFill>
                    <a:blip r:embed="rId17"/>
                    <a:stretch>
                      <a:fillRect/>
                    </a:stretch>
                  </pic:blipFill>
                  <pic:spPr>
                    <a:xfrm>
                      <a:off x="0" y="0"/>
                      <a:ext cx="5212080" cy="2895600"/>
                    </a:xfrm>
                    <a:prstGeom prst="rect"/>
                  </pic:spPr>
                </pic:pic>
              </a:graphicData>
            </a:graphic>
          </wp:inline>
        </w:drawing>
      </w:r>
    </w:p>
    <w:p>
      <w:pPr>
        <w:pStyle w:val="Caption"/>
      </w:pPr>
      <w:r>
        <w:t>Figure 4.1  Development cross-validation and test ROC AUC. Error bars represent the standard deviation across five development folds, not test-set uncertainty.</w:t>
      </w:r>
    </w:p>
    <w:tbl>
      <w:tblPr>
        <w:tblW w:type="auto" w:w="0"/>
        <w:jc w:val="center"/>
        <w:tblLayout w:type="fixed"/>
        <w:tblLook w:firstColumn="1" w:firstRow="1" w:lastColumn="0" w:lastRow="0" w:noHBand="0" w:noVBand="1" w:val="04A0"/>
      </w:tblPr>
      <w:tblGrid>
        <w:gridCol w:w="3024"/>
        <w:gridCol w:w="1440"/>
        <w:gridCol w:w="1440"/>
        <w:gridCol w:w="1440"/>
        <w:gridCol w:w="1440"/>
      </w:tblGrid>
      <w:tr>
        <w:trPr>
          <w:cantSplit/>
          <w:tblHeader/>
        </w:trPr>
        <w:tc>
          <w:tcPr>
            <w:tcW w:type="dxa" w:w="3024"/>
            <w:vAlign w:val="center"/>
            <w:tcBorders>
              <w:top w:val="single" w:sz="4" w:color="D9D9D9"/>
              <w:left w:val="single" w:sz="4" w:color="D9D9D9"/>
              <w:bottom w:val="single" w:sz="4" w:color="D9D9D9"/>
              <w:right w:val="single" w:sz="4" w:color="D9D9D9"/>
            </w:tcBorders>
            <w:shd w:fill="DCE7EF"/>
            <w:tcMar>
              <w:top w:w="80" w:type="dxa"/>
              <w:left w:w="80" w:type="dxa"/>
              <w:bottom w:w="80" w:type="dxa"/>
              <w:right w:w="80" w:type="dxa"/>
            </w:tcMar>
          </w:tcPr>
          <w:p>
            <w:pPr>
              <w:spacing w:after="40" w:line="252" w:lineRule="auto"/>
            </w:pPr>
            <w:r>
              <w:rPr>
                <w:rFonts w:ascii="CMU Serif" w:hAnsi="CMU Serif"/>
                <w:b/>
                <w:sz w:val="19"/>
              </w:rPr>
              <w:t>Model</w:t>
            </w:r>
          </w:p>
        </w:tc>
        <w:tc>
          <w:tcPr>
            <w:tcW w:type="dxa" w:w="1440"/>
            <w:vAlign w:val="center"/>
            <w:tcBorders>
              <w:top w:val="single" w:sz="4" w:color="D9D9D9"/>
              <w:left w:val="single" w:sz="4" w:color="D9D9D9"/>
              <w:bottom w:val="single" w:sz="4" w:color="D9D9D9"/>
              <w:right w:val="single" w:sz="4" w:color="D9D9D9"/>
            </w:tcBorders>
            <w:shd w:fill="DCE7EF"/>
            <w:tcMar>
              <w:top w:w="80" w:type="dxa"/>
              <w:left w:w="80" w:type="dxa"/>
              <w:bottom w:w="80" w:type="dxa"/>
              <w:right w:w="80" w:type="dxa"/>
            </w:tcMar>
          </w:tcPr>
          <w:p>
            <w:pPr>
              <w:spacing w:after="40" w:line="252" w:lineRule="auto"/>
            </w:pPr>
            <w:r>
              <w:rPr>
                <w:rFonts w:ascii="CMU Serif" w:hAnsi="CMU Serif"/>
                <w:b/>
                <w:sz w:val="19"/>
              </w:rPr>
              <w:t>Accuracy</w:t>
            </w:r>
          </w:p>
        </w:tc>
        <w:tc>
          <w:tcPr>
            <w:tcW w:type="dxa" w:w="1440"/>
            <w:vAlign w:val="center"/>
            <w:tcBorders>
              <w:top w:val="single" w:sz="4" w:color="D9D9D9"/>
              <w:left w:val="single" w:sz="4" w:color="D9D9D9"/>
              <w:bottom w:val="single" w:sz="4" w:color="D9D9D9"/>
              <w:right w:val="single" w:sz="4" w:color="D9D9D9"/>
            </w:tcBorders>
            <w:shd w:fill="DCE7EF"/>
            <w:tcMar>
              <w:top w:w="80" w:type="dxa"/>
              <w:left w:w="80" w:type="dxa"/>
              <w:bottom w:w="80" w:type="dxa"/>
              <w:right w:w="80" w:type="dxa"/>
            </w:tcMar>
          </w:tcPr>
          <w:p>
            <w:pPr>
              <w:spacing w:after="40" w:line="252" w:lineRule="auto"/>
            </w:pPr>
            <w:r>
              <w:rPr>
                <w:rFonts w:ascii="CMU Serif" w:hAnsi="CMU Serif"/>
                <w:b/>
                <w:sz w:val="19"/>
              </w:rPr>
              <w:t>Precision</w:t>
            </w:r>
          </w:p>
        </w:tc>
        <w:tc>
          <w:tcPr>
            <w:tcW w:type="dxa" w:w="1440"/>
            <w:vAlign w:val="center"/>
            <w:tcBorders>
              <w:top w:val="single" w:sz="4" w:color="D9D9D9"/>
              <w:left w:val="single" w:sz="4" w:color="D9D9D9"/>
              <w:bottom w:val="single" w:sz="4" w:color="D9D9D9"/>
              <w:right w:val="single" w:sz="4" w:color="D9D9D9"/>
            </w:tcBorders>
            <w:shd w:fill="DCE7EF"/>
            <w:tcMar>
              <w:top w:w="80" w:type="dxa"/>
              <w:left w:w="80" w:type="dxa"/>
              <w:bottom w:w="80" w:type="dxa"/>
              <w:right w:w="80" w:type="dxa"/>
            </w:tcMar>
          </w:tcPr>
          <w:p>
            <w:pPr>
              <w:spacing w:after="40" w:line="252" w:lineRule="auto"/>
            </w:pPr>
            <w:r>
              <w:rPr>
                <w:rFonts w:ascii="CMU Serif" w:hAnsi="CMU Serif"/>
                <w:b/>
                <w:sz w:val="19"/>
              </w:rPr>
              <w:t>Recall</w:t>
            </w:r>
          </w:p>
        </w:tc>
        <w:tc>
          <w:tcPr>
            <w:tcW w:type="dxa" w:w="1440"/>
            <w:vAlign w:val="center"/>
            <w:tcBorders>
              <w:top w:val="single" w:sz="4" w:color="D9D9D9"/>
              <w:left w:val="single" w:sz="4" w:color="D9D9D9"/>
              <w:bottom w:val="single" w:sz="4" w:color="D9D9D9"/>
              <w:right w:val="single" w:sz="4" w:color="D9D9D9"/>
            </w:tcBorders>
            <w:shd w:fill="DCE7EF"/>
            <w:tcMar>
              <w:top w:w="80" w:type="dxa"/>
              <w:left w:w="80" w:type="dxa"/>
              <w:bottom w:w="80" w:type="dxa"/>
              <w:right w:w="80" w:type="dxa"/>
            </w:tcMar>
          </w:tcPr>
          <w:p>
            <w:pPr>
              <w:spacing w:after="40" w:line="252" w:lineRule="auto"/>
            </w:pPr>
            <w:r>
              <w:rPr>
                <w:rFonts w:ascii="CMU Serif" w:hAnsi="CMU Serif"/>
                <w:b/>
                <w:sz w:val="19"/>
              </w:rPr>
              <w:t>F1</w:t>
            </w:r>
          </w:p>
        </w:tc>
      </w:tr>
      <w:tr>
        <w:trPr>
          <w:cantSplit/>
        </w:trPr>
        <w:tc>
          <w:tcPr>
            <w:tcW w:type="dxa" w:w="3024"/>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40" w:line="252" w:lineRule="auto"/>
            </w:pPr>
            <w:r>
              <w:rPr>
                <w:rFonts w:ascii="CMU Serif" w:hAnsi="CMU Serif"/>
                <w:b w:val="0"/>
                <w:sz w:val="19"/>
              </w:rPr>
              <w:t>Majority baseline</w:t>
            </w:r>
          </w:p>
        </w:tc>
        <w:tc>
          <w:tcPr>
            <w:tcW w:type="dxa" w:w="1440"/>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40" w:line="252" w:lineRule="auto"/>
            </w:pPr>
            <w:r>
              <w:rPr>
                <w:rFonts w:ascii="CMU Serif" w:hAnsi="CMU Serif"/>
                <w:b w:val="0"/>
                <w:sz w:val="19"/>
              </w:rPr>
              <w:t>0.615</w:t>
            </w:r>
          </w:p>
        </w:tc>
        <w:tc>
          <w:tcPr>
            <w:tcW w:type="dxa" w:w="1440"/>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40" w:line="252" w:lineRule="auto"/>
            </w:pPr>
            <w:r>
              <w:rPr>
                <w:rFonts w:ascii="CMU Serif" w:hAnsi="CMU Serif"/>
                <w:b w:val="0"/>
                <w:sz w:val="19"/>
              </w:rPr>
              <w:t>0.000</w:t>
            </w:r>
          </w:p>
        </w:tc>
        <w:tc>
          <w:tcPr>
            <w:tcW w:type="dxa" w:w="1440"/>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40" w:line="252" w:lineRule="auto"/>
            </w:pPr>
            <w:r>
              <w:rPr>
                <w:rFonts w:ascii="CMU Serif" w:hAnsi="CMU Serif"/>
                <w:b w:val="0"/>
                <w:sz w:val="19"/>
              </w:rPr>
              <w:t>0.000</w:t>
            </w:r>
          </w:p>
        </w:tc>
        <w:tc>
          <w:tcPr>
            <w:tcW w:type="dxa" w:w="1440"/>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40" w:line="252" w:lineRule="auto"/>
            </w:pPr>
            <w:r>
              <w:rPr>
                <w:rFonts w:ascii="CMU Serif" w:hAnsi="CMU Serif"/>
                <w:b w:val="0"/>
                <w:sz w:val="19"/>
              </w:rPr>
              <w:t>0.000</w:t>
            </w:r>
          </w:p>
        </w:tc>
      </w:tr>
      <w:tr>
        <w:trPr>
          <w:cantSplit/>
        </w:trPr>
        <w:tc>
          <w:tcPr>
            <w:tcW w:type="dxa" w:w="3024"/>
            <w:vAlign w:val="center"/>
            <w:tcBorders>
              <w:top w:val="single" w:sz="4" w:color="D9D9D9"/>
              <w:left w:val="single" w:sz="4" w:color="D9D9D9"/>
              <w:bottom w:val="single" w:sz="4" w:color="D9D9D9"/>
              <w:right w:val="single" w:sz="4" w:color="D9D9D9"/>
            </w:tcBorders>
            <w:shd w:fill="F4F8FC"/>
            <w:tcMar>
              <w:top w:w="80" w:type="dxa"/>
              <w:left w:w="80" w:type="dxa"/>
              <w:bottom w:w="80" w:type="dxa"/>
              <w:right w:w="80" w:type="dxa"/>
            </w:tcMar>
          </w:tcPr>
          <w:p>
            <w:pPr>
              <w:spacing w:after="40" w:line="252" w:lineRule="auto"/>
            </w:pPr>
            <w:r>
              <w:rPr>
                <w:rFonts w:ascii="CMU Serif" w:hAnsi="CMU Serif"/>
                <w:b w:val="0"/>
                <w:sz w:val="19"/>
              </w:rPr>
              <w:t>Logistic regression</w:t>
            </w:r>
          </w:p>
        </w:tc>
        <w:tc>
          <w:tcPr>
            <w:tcW w:type="dxa" w:w="1440"/>
            <w:vAlign w:val="center"/>
            <w:tcBorders>
              <w:top w:val="single" w:sz="4" w:color="D9D9D9"/>
              <w:left w:val="single" w:sz="4" w:color="D9D9D9"/>
              <w:bottom w:val="single" w:sz="4" w:color="D9D9D9"/>
              <w:right w:val="single" w:sz="4" w:color="D9D9D9"/>
            </w:tcBorders>
            <w:shd w:fill="F4F8FC"/>
            <w:tcMar>
              <w:top w:w="80" w:type="dxa"/>
              <w:left w:w="80" w:type="dxa"/>
              <w:bottom w:w="80" w:type="dxa"/>
              <w:right w:w="80" w:type="dxa"/>
            </w:tcMar>
          </w:tcPr>
          <w:p>
            <w:pPr>
              <w:spacing w:after="40" w:line="252" w:lineRule="auto"/>
            </w:pPr>
            <w:r>
              <w:rPr>
                <w:rFonts w:ascii="CMU Serif" w:hAnsi="CMU Serif"/>
                <w:b w:val="0"/>
                <w:sz w:val="19"/>
              </w:rPr>
              <w:t>0.821</w:t>
            </w:r>
          </w:p>
        </w:tc>
        <w:tc>
          <w:tcPr>
            <w:tcW w:type="dxa" w:w="1440"/>
            <w:vAlign w:val="center"/>
            <w:tcBorders>
              <w:top w:val="single" w:sz="4" w:color="D9D9D9"/>
              <w:left w:val="single" w:sz="4" w:color="D9D9D9"/>
              <w:bottom w:val="single" w:sz="4" w:color="D9D9D9"/>
              <w:right w:val="single" w:sz="4" w:color="D9D9D9"/>
            </w:tcBorders>
            <w:shd w:fill="F4F8FC"/>
            <w:tcMar>
              <w:top w:w="80" w:type="dxa"/>
              <w:left w:w="80" w:type="dxa"/>
              <w:bottom w:w="80" w:type="dxa"/>
              <w:right w:w="80" w:type="dxa"/>
            </w:tcMar>
          </w:tcPr>
          <w:p>
            <w:pPr>
              <w:spacing w:after="40" w:line="252" w:lineRule="auto"/>
            </w:pPr>
            <w:r>
              <w:rPr>
                <w:rFonts w:ascii="CMU Serif" w:hAnsi="CMU Serif"/>
                <w:b w:val="0"/>
                <w:sz w:val="19"/>
              </w:rPr>
              <w:t>0.814</w:t>
            </w:r>
          </w:p>
        </w:tc>
        <w:tc>
          <w:tcPr>
            <w:tcW w:type="dxa" w:w="1440"/>
            <w:vAlign w:val="center"/>
            <w:tcBorders>
              <w:top w:val="single" w:sz="4" w:color="D9D9D9"/>
              <w:left w:val="single" w:sz="4" w:color="D9D9D9"/>
              <w:bottom w:val="single" w:sz="4" w:color="D9D9D9"/>
              <w:right w:val="single" w:sz="4" w:color="D9D9D9"/>
            </w:tcBorders>
            <w:shd w:fill="F4F8FC"/>
            <w:tcMar>
              <w:top w:w="80" w:type="dxa"/>
              <w:left w:w="80" w:type="dxa"/>
              <w:bottom w:w="80" w:type="dxa"/>
              <w:right w:w="80" w:type="dxa"/>
            </w:tcMar>
          </w:tcPr>
          <w:p>
            <w:pPr>
              <w:spacing w:after="40" w:line="252" w:lineRule="auto"/>
            </w:pPr>
            <w:r>
              <w:rPr>
                <w:rFonts w:ascii="CMU Serif" w:hAnsi="CMU Serif"/>
                <w:b w:val="0"/>
                <w:sz w:val="19"/>
              </w:rPr>
              <w:t>0.696</w:t>
            </w:r>
          </w:p>
        </w:tc>
        <w:tc>
          <w:tcPr>
            <w:tcW w:type="dxa" w:w="1440"/>
            <w:vAlign w:val="center"/>
            <w:tcBorders>
              <w:top w:val="single" w:sz="4" w:color="D9D9D9"/>
              <w:left w:val="single" w:sz="4" w:color="D9D9D9"/>
              <w:bottom w:val="single" w:sz="4" w:color="D9D9D9"/>
              <w:right w:val="single" w:sz="4" w:color="D9D9D9"/>
            </w:tcBorders>
            <w:shd w:fill="F4F8FC"/>
            <w:tcMar>
              <w:top w:w="80" w:type="dxa"/>
              <w:left w:w="80" w:type="dxa"/>
              <w:bottom w:w="80" w:type="dxa"/>
              <w:right w:w="80" w:type="dxa"/>
            </w:tcMar>
          </w:tcPr>
          <w:p>
            <w:pPr>
              <w:spacing w:after="40" w:line="252" w:lineRule="auto"/>
            </w:pPr>
            <w:r>
              <w:rPr>
                <w:rFonts w:ascii="CMU Serif" w:hAnsi="CMU Serif"/>
                <w:b w:val="0"/>
                <w:sz w:val="19"/>
              </w:rPr>
              <w:t>0.750</w:t>
            </w:r>
          </w:p>
        </w:tc>
      </w:tr>
      <w:tr>
        <w:trPr>
          <w:cantSplit/>
        </w:trPr>
        <w:tc>
          <w:tcPr>
            <w:tcW w:type="dxa" w:w="3024"/>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40" w:line="252" w:lineRule="auto"/>
            </w:pPr>
            <w:r>
              <w:rPr>
                <w:rFonts w:ascii="CMU Serif" w:hAnsi="CMU Serif"/>
                <w:b w:val="0"/>
                <w:sz w:val="19"/>
              </w:rPr>
              <w:t>Decision tree</w:t>
            </w:r>
          </w:p>
        </w:tc>
        <w:tc>
          <w:tcPr>
            <w:tcW w:type="dxa" w:w="1440"/>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40" w:line="252" w:lineRule="auto"/>
            </w:pPr>
            <w:r>
              <w:rPr>
                <w:rFonts w:ascii="CMU Serif" w:hAnsi="CMU Serif"/>
                <w:b w:val="0"/>
                <w:sz w:val="19"/>
              </w:rPr>
              <w:t>0.777</w:t>
            </w:r>
          </w:p>
        </w:tc>
        <w:tc>
          <w:tcPr>
            <w:tcW w:type="dxa" w:w="1440"/>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40" w:line="252" w:lineRule="auto"/>
            </w:pPr>
            <w:r>
              <w:rPr>
                <w:rFonts w:ascii="CMU Serif" w:hAnsi="CMU Serif"/>
                <w:b w:val="0"/>
                <w:sz w:val="19"/>
              </w:rPr>
              <w:t>0.809</w:t>
            </w:r>
          </w:p>
        </w:tc>
        <w:tc>
          <w:tcPr>
            <w:tcW w:type="dxa" w:w="1440"/>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40" w:line="252" w:lineRule="auto"/>
            </w:pPr>
            <w:r>
              <w:rPr>
                <w:rFonts w:ascii="CMU Serif" w:hAnsi="CMU Serif"/>
                <w:b w:val="0"/>
                <w:sz w:val="19"/>
              </w:rPr>
              <w:t>0.551</w:t>
            </w:r>
          </w:p>
        </w:tc>
        <w:tc>
          <w:tcPr>
            <w:tcW w:type="dxa" w:w="1440"/>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40" w:line="252" w:lineRule="auto"/>
            </w:pPr>
            <w:r>
              <w:rPr>
                <w:rFonts w:ascii="CMU Serif" w:hAnsi="CMU Serif"/>
                <w:b w:val="0"/>
                <w:sz w:val="19"/>
              </w:rPr>
              <w:t>0.655</w:t>
            </w:r>
          </w:p>
        </w:tc>
      </w:tr>
    </w:tbl>
    <w:p>
      <w:pPr>
        <w:spacing w:after="40"/>
      </w:pPr>
    </w:p>
    <w:p>
      <w:pPr>
        <w:ind w:firstLine="360"/>
        <w:jc w:val="both"/>
      </w:pPr>
      <w:r>
        <w:t>The baseline achieves 61.5% accuracy while identifying no survivors. This illustrates why accuracy alone is insufficient on an imbalanced target. Precision is the fraction of predicted survivors who actually survived; recall is the fraction of actual survivors detected. F1 combines precision and recall. Baseline precision is undefined with no positive predictions and is reported as zero using an explicit zero_division setting.</w:t>
      </w:r>
    </w:p>
    <w:p>
      <w:pPr>
        <w:ind w:firstLine="360"/>
        <w:jc w:val="both"/>
      </w:pPr>
      <w:r>
        <w:t>Logistic regression improves accuracy by 20.7 percentage points over the baseline and reaches 79.8% balanced accuracy. Its average precision is 0.795 and Brier score is 0.141, compared with 0.385 and 0.237 for the constant-probability baseline. Lower Brier scores indicate smaller squared probability errors; this comparison alone does not establish well-calibrated probabilities.</w:t>
      </w:r>
    </w:p>
    <w:p>
      <w:pPr>
        <w:pStyle w:val="Heading1"/>
        <w:pageBreakBefore/>
        <w:spacing w:before="0"/>
      </w:pPr>
      <w:r>
        <w:rPr>
          <w:rFonts w:ascii="CMU Serif" w:hAnsi="CMU Serif"/>
          <w:color w:val="0A1628"/>
        </w:rPr>
        <w:t>5.  Confusion matrices and ranking quality</w:t>
      </w:r>
    </w:p>
    <w:p>
      <w:pPr>
        <w:keepNext/>
        <w:jc w:val="center"/>
      </w:pPr>
      <w:r>
        <w:drawing>
          <wp:inline xmlns:a="http://schemas.openxmlformats.org/drawingml/2006/main" xmlns:pic="http://schemas.openxmlformats.org/drawingml/2006/picture">
            <wp:extent cx="5212080" cy="2200656"/>
            <wp:docPr id="2" name="Picture 2"/>
            <wp:cNvGraphicFramePr>
              <a:graphicFrameLocks noChangeAspect="1"/>
            </wp:cNvGraphicFramePr>
            <a:graphic>
              <a:graphicData uri="http://schemas.openxmlformats.org/drawingml/2006/picture">
                <pic:pic>
                  <pic:nvPicPr>
                    <pic:cNvPr id="0" name="02_confusion_matrices.png"/>
                    <pic:cNvPicPr/>
                  </pic:nvPicPr>
                  <pic:blipFill>
                    <a:blip r:embed="rId18"/>
                    <a:stretch>
                      <a:fillRect/>
                    </a:stretch>
                  </pic:blipFill>
                  <pic:spPr>
                    <a:xfrm>
                      <a:off x="0" y="0"/>
                      <a:ext cx="5212080" cy="2200656"/>
                    </a:xfrm>
                    <a:prstGeom prst="rect"/>
                  </pic:spPr>
                </pic:pic>
              </a:graphicData>
            </a:graphic>
          </wp:inline>
        </w:drawing>
      </w:r>
    </w:p>
    <w:p>
      <w:pPr>
        <w:pStyle w:val="Caption"/>
      </w:pPr>
      <w:r>
        <w:t>Figure 4.2  Test confusion matrices at the fixed 0.50 threshold. Rows show observed outcomes; columns show predicted outcomes.</w:t>
      </w:r>
    </w:p>
    <w:p>
      <w:pPr>
        <w:ind w:firstLine="360"/>
        <w:jc w:val="both"/>
      </w:pPr>
      <w:r>
        <w:t>For logistic regression, 99 passengers are correctly classified as non-survivors and 48 as survivors. There are 11 false positives and 21 false negatives. Thus 147 of 179 predictions are correct and 32 are incorrect, giving a 17.9% error rate. The tree identifies fewer survivors at the same threshold, with recall of 55.1% versus 69.6% for logistic regression.</w:t>
      </w:r>
    </w:p>
    <w:p>
      <w:pPr>
        <w:keepNext/>
        <w:jc w:val="center"/>
      </w:pPr>
      <w:r>
        <w:drawing>
          <wp:inline xmlns:a="http://schemas.openxmlformats.org/drawingml/2006/main" xmlns:pic="http://schemas.openxmlformats.org/drawingml/2006/picture">
            <wp:extent cx="5212080" cy="2200656"/>
            <wp:docPr id="3" name="Picture 3"/>
            <wp:cNvGraphicFramePr>
              <a:graphicFrameLocks noChangeAspect="1"/>
            </wp:cNvGraphicFramePr>
            <a:graphic>
              <a:graphicData uri="http://schemas.openxmlformats.org/drawingml/2006/picture">
                <pic:pic>
                  <pic:nvPicPr>
                    <pic:cNvPr id="0" name="03_roc_pr.png"/>
                    <pic:cNvPicPr/>
                  </pic:nvPicPr>
                  <pic:blipFill>
                    <a:blip r:embed="rId19"/>
                    <a:stretch>
                      <a:fillRect/>
                    </a:stretch>
                  </pic:blipFill>
                  <pic:spPr>
                    <a:xfrm>
                      <a:off x="0" y="0"/>
                      <a:ext cx="5212080" cy="2200656"/>
                    </a:xfrm>
                    <a:prstGeom prst="rect"/>
                  </pic:spPr>
                </pic:pic>
              </a:graphicData>
            </a:graphic>
          </wp:inline>
        </w:drawing>
      </w:r>
    </w:p>
    <w:p>
      <w:pPr>
        <w:pStyle w:val="Caption"/>
      </w:pPr>
      <w:r>
        <w:t>Figure 4.3  Test ROC and precision–recall curves for all candidates. ROC AUC assesses ranking; precision–recall focuses on survivor detection. The baseline average precision equals the test survival prevalence.</w:t>
      </w:r>
    </w:p>
    <w:p>
      <w:pPr>
        <w:ind w:firstLine="360"/>
        <w:jc w:val="both"/>
      </w:pPr>
      <w:r>
        <w:t>The selected model has test ROC AUC 0.845. These curves describe threshold trade-offs without choosing a new threshold from the test set. Any future threshold selection should use development validation predictions and a stated error-cost objective, followed by evaluation on new independent data.</w:t>
      </w:r>
    </w:p>
    <w:p>
      <w:pPr>
        <w:pStyle w:val="Heading1"/>
        <w:pageBreakBefore/>
        <w:spacing w:before="0"/>
      </w:pPr>
      <w:r>
        <w:rPr>
          <w:rFonts w:ascii="CMU Serif" w:hAnsi="CMU Serif"/>
          <w:color w:val="0A1628"/>
        </w:rPr>
        <w:t>6.  Error analysis and uncertainty</w:t>
      </w:r>
    </w:p>
    <w:p>
      <w:pPr>
        <w:keepNext/>
        <w:jc w:val="center"/>
      </w:pPr>
      <w:r>
        <w:drawing>
          <wp:inline xmlns:a="http://schemas.openxmlformats.org/drawingml/2006/main" xmlns:pic="http://schemas.openxmlformats.org/drawingml/2006/picture">
            <wp:extent cx="5212080" cy="2750820"/>
            <wp:docPr id="4" name="Picture 4"/>
            <wp:cNvGraphicFramePr>
              <a:graphicFrameLocks noChangeAspect="1"/>
            </wp:cNvGraphicFramePr>
            <a:graphic>
              <a:graphicData uri="http://schemas.openxmlformats.org/drawingml/2006/picture">
                <pic:pic>
                  <pic:nvPicPr>
                    <pic:cNvPr id="0" name="04_subgroups.png"/>
                    <pic:cNvPicPr/>
                  </pic:nvPicPr>
                  <pic:blipFill>
                    <a:blip r:embed="rId20"/>
                    <a:stretch>
                      <a:fillRect/>
                    </a:stretch>
                  </pic:blipFill>
                  <pic:spPr>
                    <a:xfrm>
                      <a:off x="0" y="0"/>
                      <a:ext cx="5212080" cy="2750820"/>
                    </a:xfrm>
                    <a:prstGeom prst="rect"/>
                  </pic:spPr>
                </pic:pic>
              </a:graphicData>
            </a:graphic>
          </wp:inline>
        </w:drawing>
      </w:r>
    </w:p>
    <w:p>
      <w:pPr>
        <w:pStyle w:val="Caption"/>
      </w:pPr>
      <w:r>
        <w:t>Figure 4.4  Survivor recall by sex and passenger class for the selected model. Denominators are shown because small groups can produce unstable rates. Groups overlap across the two attributes.</w:t>
      </w:r>
    </w:p>
    <w:p>
      <w:pPr>
        <w:ind w:firstLine="360"/>
        <w:jc w:val="both"/>
      </w:pPr>
      <w:r>
        <w:t>All 45 female survivors in the test split are identified, but only 3 of 24 male survivors are identified. Female false-positive rate is 9/16 (56.3%), whereas male false-positive rate is 2/94 (2.1%). Overall accuracy therefore conceals substantial differences in error type. These are descriptive results from one small split, not definitive population estimates or evidence of fair performance.</w:t>
      </w:r>
    </w:p>
    <w:p>
      <w:pPr>
        <w:ind w:firstLine="360"/>
        <w:jc w:val="both"/>
      </w:pPr>
      <w:r>
        <w:t>By passenger class, survivor recall is 68.0% for first class (17/25), 85.0% for second class (17/20), and 58.3% for third class (14/24). The sample does not support reliable intersectional conclusions for every sex-by-class subgroup. Before broader use, I would report larger subgroup samples and uncertainty rather than interpret these percentages in isolation.</w:t>
      </w:r>
    </w:p>
    <w:p>
      <w:pPr>
        <w:ind w:firstLine="360"/>
        <w:jc w:val="both"/>
      </w:pPr>
      <w:r>
        <w:t>A 2,000-resample percentile bootstrap of test passengers gives an approximate 95% accuracy interval of 76.5%–87.2% and ROC AUC interval of 0.775–0.906. These intervals are conditional on this fitted model and split. They do not account for model-selection variability, earlier full-data exploration, or dependence between relatives. They should not be presented as guaranteed external performance bounds.</w:t>
      </w:r>
    </w:p>
    <w:p>
      <w:pPr>
        <w:pStyle w:val="Heading1"/>
        <w:pageBreakBefore/>
        <w:spacing w:before="0"/>
      </w:pPr>
      <w:r>
        <w:rPr>
          <w:rFonts w:ascii="CMU Serif" w:hAnsi="CMU Serif"/>
          <w:color w:val="0A1628"/>
        </w:rPr>
        <w:t>7.  Limitations and improvement plan</w:t>
      </w:r>
    </w:p>
    <w:p>
      <w:pPr>
        <w:ind w:firstLine="360"/>
        <w:jc w:val="both"/>
      </w:pPr>
      <w:r>
        <w:t>This historical sample comes from a single event. It does not represent modern travel, evacuation systems or customer behaviour. Many potentially relevant variables are absent, including movement routes, access to assistance and complete family identifiers. Related passengers may appear in both training and test partitions, which can make ordinary row-wise validation optimistic. Group-aware splitting requires reliable group identifiers that are not available here.</w:t>
      </w:r>
    </w:p>
    <w:p>
      <w:pPr>
        <w:ind w:firstLine="360"/>
        <w:jc w:val="both"/>
      </w:pPr>
      <w:r>
        <w:t>The preprocessing pipeline avoids fitting transformations on validation or test records, but it cannot reverse the fact that the full dataset informed earlier exploration. New independent records are needed for a stronger claim about generalization. The model learns patterns associated with observed survival; it does not identify the effect of changing class, fare or any other passenger attribute.</w:t>
      </w:r>
    </w:p>
    <w:tbl>
      <w:tblPr>
        <w:tblW w:type="auto" w:w="0"/>
        <w:jc w:val="center"/>
        <w:tblLayout w:type="fixed"/>
        <w:tblLook w:firstColumn="1" w:firstRow="1" w:lastColumn="0" w:lastRow="0" w:noHBand="0" w:noVBand="1" w:val="04A0"/>
      </w:tblPr>
      <w:tblGrid>
        <w:gridCol w:w="2592"/>
        <w:gridCol w:w="6192"/>
      </w:tblGrid>
      <w:tr>
        <w:trPr>
          <w:cantSplit/>
          <w:tblHeader/>
        </w:trPr>
        <w:tc>
          <w:tcPr>
            <w:tcW w:type="dxa" w:w="2592"/>
            <w:vAlign w:val="center"/>
            <w:tcBorders>
              <w:top w:val="single" w:sz="4" w:color="D9D9D9"/>
              <w:left w:val="single" w:sz="4" w:color="D9D9D9"/>
              <w:bottom w:val="single" w:sz="4" w:color="D9D9D9"/>
              <w:right w:val="single" w:sz="4" w:color="D9D9D9"/>
            </w:tcBorders>
            <w:shd w:fill="DCE7EF"/>
            <w:tcMar>
              <w:top w:w="80" w:type="dxa"/>
              <w:left w:w="80" w:type="dxa"/>
              <w:bottom w:w="80" w:type="dxa"/>
              <w:right w:w="80" w:type="dxa"/>
            </w:tcMar>
          </w:tcPr>
          <w:p>
            <w:pPr>
              <w:spacing w:after="40" w:line="252" w:lineRule="auto"/>
            </w:pPr>
            <w:r>
              <w:rPr>
                <w:rFonts w:ascii="CMU Serif" w:hAnsi="CMU Serif"/>
                <w:b/>
                <w:sz w:val="19"/>
              </w:rPr>
              <w:t>Next improvement</w:t>
            </w:r>
          </w:p>
        </w:tc>
        <w:tc>
          <w:tcPr>
            <w:tcW w:type="dxa" w:w="6192"/>
            <w:vAlign w:val="center"/>
            <w:tcBorders>
              <w:top w:val="single" w:sz="4" w:color="D9D9D9"/>
              <w:left w:val="single" w:sz="4" w:color="D9D9D9"/>
              <w:bottom w:val="single" w:sz="4" w:color="D9D9D9"/>
              <w:right w:val="single" w:sz="4" w:color="D9D9D9"/>
            </w:tcBorders>
            <w:shd w:fill="DCE7EF"/>
            <w:tcMar>
              <w:top w:w="80" w:type="dxa"/>
              <w:left w:w="80" w:type="dxa"/>
              <w:bottom w:w="80" w:type="dxa"/>
              <w:right w:w="80" w:type="dxa"/>
            </w:tcMar>
          </w:tcPr>
          <w:p>
            <w:pPr>
              <w:spacing w:after="40" w:line="252" w:lineRule="auto"/>
            </w:pPr>
            <w:r>
              <w:rPr>
                <w:rFonts w:ascii="CMU Serif" w:hAnsi="CMU Serif"/>
                <w:b/>
                <w:sz w:val="19"/>
              </w:rPr>
              <w:t>How I would assess it</w:t>
            </w:r>
          </w:p>
        </w:tc>
      </w:tr>
      <w:tr>
        <w:trPr>
          <w:cantSplit/>
        </w:trPr>
        <w:tc>
          <w:tcPr>
            <w:tcW w:type="dxa" w:w="2592"/>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40" w:line="252" w:lineRule="auto"/>
            </w:pPr>
            <w:r>
              <w:rPr>
                <w:rFonts w:ascii="CMU Serif" w:hAnsi="CMU Serif"/>
                <w:b w:val="0"/>
                <w:sz w:val="19"/>
              </w:rPr>
              <w:t>Explicit interactions</w:t>
            </w:r>
          </w:p>
        </w:tc>
        <w:tc>
          <w:tcPr>
            <w:tcW w:type="dxa" w:w="6192"/>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40" w:line="252" w:lineRule="auto"/>
            </w:pPr>
            <w:r>
              <w:rPr>
                <w:rFonts w:ascii="CMU Serif" w:hAnsi="CMU Serif"/>
                <w:b w:val="0"/>
                <w:sz w:val="19"/>
              </w:rPr>
              <w:t>Compare a pre-specified sex-by-class model using development cross-validation.</w:t>
            </w:r>
          </w:p>
        </w:tc>
      </w:tr>
      <w:tr>
        <w:trPr>
          <w:cantSplit/>
        </w:trPr>
        <w:tc>
          <w:tcPr>
            <w:tcW w:type="dxa" w:w="2592"/>
            <w:vAlign w:val="center"/>
            <w:tcBorders>
              <w:top w:val="single" w:sz="4" w:color="D9D9D9"/>
              <w:left w:val="single" w:sz="4" w:color="D9D9D9"/>
              <w:bottom w:val="single" w:sz="4" w:color="D9D9D9"/>
              <w:right w:val="single" w:sz="4" w:color="D9D9D9"/>
            </w:tcBorders>
            <w:shd w:fill="F4F8FC"/>
            <w:tcMar>
              <w:top w:w="80" w:type="dxa"/>
              <w:left w:w="80" w:type="dxa"/>
              <w:bottom w:w="80" w:type="dxa"/>
              <w:right w:w="80" w:type="dxa"/>
            </w:tcMar>
          </w:tcPr>
          <w:p>
            <w:pPr>
              <w:spacing w:after="40" w:line="252" w:lineRule="auto"/>
            </w:pPr>
            <w:r>
              <w:rPr>
                <w:rFonts w:ascii="CMU Serif" w:hAnsi="CMU Serif"/>
                <w:b w:val="0"/>
                <w:sz w:val="19"/>
              </w:rPr>
              <w:t>Regularization and tree tuning</w:t>
            </w:r>
          </w:p>
        </w:tc>
        <w:tc>
          <w:tcPr>
            <w:tcW w:type="dxa" w:w="6192"/>
            <w:vAlign w:val="center"/>
            <w:tcBorders>
              <w:top w:val="single" w:sz="4" w:color="D9D9D9"/>
              <w:left w:val="single" w:sz="4" w:color="D9D9D9"/>
              <w:bottom w:val="single" w:sz="4" w:color="D9D9D9"/>
              <w:right w:val="single" w:sz="4" w:color="D9D9D9"/>
            </w:tcBorders>
            <w:shd w:fill="F4F8FC"/>
            <w:tcMar>
              <w:top w:w="80" w:type="dxa"/>
              <w:left w:w="80" w:type="dxa"/>
              <w:bottom w:w="80" w:type="dxa"/>
              <w:right w:w="80" w:type="dxa"/>
            </w:tcMar>
          </w:tcPr>
          <w:p>
            <w:pPr>
              <w:spacing w:after="40" w:line="252" w:lineRule="auto"/>
            </w:pPr>
            <w:r>
              <w:rPr>
                <w:rFonts w:ascii="CMU Serif" w:hAnsi="CMU Serif"/>
                <w:b w:val="0"/>
                <w:sz w:val="19"/>
              </w:rPr>
              <w:t>Use a limited grid inside development CV; reserve independent evaluation data.</w:t>
            </w:r>
          </w:p>
        </w:tc>
      </w:tr>
      <w:tr>
        <w:trPr>
          <w:cantSplit/>
        </w:trPr>
        <w:tc>
          <w:tcPr>
            <w:tcW w:type="dxa" w:w="2592"/>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40" w:line="252" w:lineRule="auto"/>
            </w:pPr>
            <w:r>
              <w:rPr>
                <w:rFonts w:ascii="CMU Serif" w:hAnsi="CMU Serif"/>
                <w:b w:val="0"/>
                <w:sz w:val="19"/>
              </w:rPr>
              <w:t>Missing-data sensitivity</w:t>
            </w:r>
          </w:p>
        </w:tc>
        <w:tc>
          <w:tcPr>
            <w:tcW w:type="dxa" w:w="6192"/>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40" w:line="252" w:lineRule="auto"/>
            </w:pPr>
            <w:r>
              <w:rPr>
                <w:rFonts w:ascii="CMU Serif" w:hAnsi="CMU Serif"/>
                <w:b w:val="0"/>
                <w:sz w:val="19"/>
              </w:rPr>
              <w:t>Compare fold-fitted imputation strategies and retain missingness indicators.</w:t>
            </w:r>
          </w:p>
        </w:tc>
      </w:tr>
      <w:tr>
        <w:trPr>
          <w:cantSplit/>
        </w:trPr>
        <w:tc>
          <w:tcPr>
            <w:tcW w:type="dxa" w:w="2592"/>
            <w:vAlign w:val="center"/>
            <w:tcBorders>
              <w:top w:val="single" w:sz="4" w:color="D9D9D9"/>
              <w:left w:val="single" w:sz="4" w:color="D9D9D9"/>
              <w:bottom w:val="single" w:sz="4" w:color="D9D9D9"/>
              <w:right w:val="single" w:sz="4" w:color="D9D9D9"/>
            </w:tcBorders>
            <w:shd w:fill="F4F8FC"/>
            <w:tcMar>
              <w:top w:w="80" w:type="dxa"/>
              <w:left w:w="80" w:type="dxa"/>
              <w:bottom w:w="80" w:type="dxa"/>
              <w:right w:w="80" w:type="dxa"/>
            </w:tcMar>
          </w:tcPr>
          <w:p>
            <w:pPr>
              <w:spacing w:after="40" w:line="252" w:lineRule="auto"/>
            </w:pPr>
            <w:r>
              <w:rPr>
                <w:rFonts w:ascii="CMU Serif" w:hAnsi="CMU Serif"/>
                <w:b w:val="0"/>
                <w:sz w:val="19"/>
              </w:rPr>
              <w:t>Calibration and threshold</w:t>
            </w:r>
          </w:p>
        </w:tc>
        <w:tc>
          <w:tcPr>
            <w:tcW w:type="dxa" w:w="6192"/>
            <w:vAlign w:val="center"/>
            <w:tcBorders>
              <w:top w:val="single" w:sz="4" w:color="D9D9D9"/>
              <w:left w:val="single" w:sz="4" w:color="D9D9D9"/>
              <w:bottom w:val="single" w:sz="4" w:color="D9D9D9"/>
              <w:right w:val="single" w:sz="4" w:color="D9D9D9"/>
            </w:tcBorders>
            <w:shd w:fill="F4F8FC"/>
            <w:tcMar>
              <w:top w:w="80" w:type="dxa"/>
              <w:left w:w="80" w:type="dxa"/>
              <w:bottom w:w="80" w:type="dxa"/>
              <w:right w:w="80" w:type="dxa"/>
            </w:tcMar>
          </w:tcPr>
          <w:p>
            <w:pPr>
              <w:spacing w:after="40" w:line="252" w:lineRule="auto"/>
            </w:pPr>
            <w:r>
              <w:rPr>
                <w:rFonts w:ascii="CMU Serif" w:hAnsi="CMU Serif"/>
                <w:b w:val="0"/>
                <w:sz w:val="19"/>
              </w:rPr>
              <w:t>Use out-of-fold probabilities; choose metrics and error costs before evaluation.</w:t>
            </w:r>
          </w:p>
        </w:tc>
      </w:tr>
      <w:tr>
        <w:trPr>
          <w:cantSplit/>
        </w:trPr>
        <w:tc>
          <w:tcPr>
            <w:tcW w:type="dxa" w:w="2592"/>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40" w:line="252" w:lineRule="auto"/>
            </w:pPr>
            <w:r>
              <w:rPr>
                <w:rFonts w:ascii="CMU Serif" w:hAnsi="CMU Serif"/>
                <w:b w:val="0"/>
                <w:sz w:val="19"/>
              </w:rPr>
              <w:t>Group-aware external validation</w:t>
            </w:r>
          </w:p>
        </w:tc>
        <w:tc>
          <w:tcPr>
            <w:tcW w:type="dxa" w:w="6192"/>
            <w:vAlign w:val="center"/>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40" w:line="252" w:lineRule="auto"/>
            </w:pPr>
            <w:r>
              <w:rPr>
                <w:rFonts w:ascii="CMU Serif" w:hAnsi="CMU Serif"/>
                <w:b w:val="0"/>
                <w:sz w:val="19"/>
              </w:rPr>
              <w:t>Acquire family or ticket linkage; assess performance on independent groups.</w:t>
            </w:r>
          </w:p>
        </w:tc>
      </w:tr>
    </w:tbl>
    <w:p>
      <w:pPr>
        <w:spacing w:after="40"/>
      </w:pPr>
    </w:p>
    <w:p>
      <w:pPr>
        <w:ind w:firstLine="360"/>
        <w:jc w:val="both"/>
      </w:pPr>
      <w:r>
        <w:t>The current model is suitable for demonstrating a reproducible workflow, inspecting errors and generating research questions. It is not validated for assigning rescue priority or allocating services. Historical sex and class associations must not be converted directly into operational decisions.</w:t>
      </w:r>
    </w:p>
    <w:p>
      <w:pPr>
        <w:pStyle w:val="Heading2"/>
      </w:pPr>
      <w:r>
        <w:rPr>
          <w:rFonts w:ascii="CMU Serif" w:hAnsi="CMU Serif"/>
          <w:color w:val="0A1628"/>
        </w:rPr>
        <w:t>Workload plan</w:t>
      </w:r>
    </w:p>
    <w:p>
      <w:pPr>
        <w:ind w:firstLine="360"/>
        <w:jc w:val="both"/>
      </w:pPr>
      <w:r>
        <w:t>A proposed 32-hour allocation is: data audit and feature preparation, 6 hours; pipeline and candidate development, 8 hours; cross-validation and evaluation, 7 hours; error analysis, 5 hours; and documentation and review, 6 hours. This is a planning allocation within the assigned 30–35 hours, not a claim of recorded time spent.</w:t>
      </w:r>
    </w:p>
    <w:p>
      <w:pPr>
        <w:pStyle w:val="Heading1"/>
        <w:pageBreakBefore/>
        <w:spacing w:before="0"/>
      </w:pPr>
      <w:r>
        <w:rPr>
          <w:rFonts w:ascii="CMU Serif" w:hAnsi="CMU Serif"/>
          <w:color w:val="0A1628"/>
        </w:rPr>
        <w:t>8.  Python implementation and reproducibility</w:t>
      </w:r>
    </w:p>
    <w:p>
      <w:pPr>
        <w:ind w:firstLine="360"/>
        <w:jc w:val="both"/>
      </w:pPr>
      <w:r>
        <w:t>The complete executed script is weeks/week04/analysis.py. It resolves paths from its own location and loads the pinned CSV through src/titanic_data.py. The following excerpts show the key preparation and selection logic; plotting, bootstrap and output-writing code remain in the complete script.</w:t>
      </w:r>
    </w:p>
    <w:p>
      <w:pPr>
        <w:spacing w:after="120" w:line="252" w:lineRule="auto"/>
        <w:shd w:fill="F4F8FC"/>
      </w:pPr>
      <w:r>
        <w:rPr>
          <w:rFonts w:ascii="DejaVu Sans Mono" w:hAnsi="DejaVu Sans Mono"/>
          <w:color w:val="1A2B40"/>
          <w:sz w:val="16"/>
        </w:rPr>
        <w:t>numeric = Pipeline([</w:t>
        <w:br/>
        <w:t xml:space="preserve">    ('impute', SimpleImputer(strategy='median',</w:t>
        <w:br/>
        <w:t xml:space="preserve">                            add_indicator=True)),</w:t>
        <w:br/>
        <w:t xml:space="preserve">    ('scale', StandardScaler())])</w:t>
        <w:br/>
        <w:t>categorical = Pipeline([</w:t>
        <w:br/>
        <w:t xml:space="preserve">    ('impute', SimpleImputer(strategy='most_frequent')),</w:t>
        <w:br/>
        <w:t xml:space="preserve">    ('encode', OneHotEncoder(handle_unknown='ignore',</w:t>
        <w:br/>
        <w:t xml:space="preserve">                            sparse_output=False))])</w:t>
        <w:br/>
        <w:t>prep = ColumnTransformer([</w:t>
        <w:br/>
        <w:t xml:space="preserve">    ('numeric', numeric, ['age', 'log_fare']),</w:t>
        <w:br/>
        <w:t xml:space="preserve">    ('categorical', categorical,</w:t>
        <w:br/>
        <w:t xml:space="preserve">     ['pclass', 'sex', 'embarked', 'family_group'])])</w:t>
        <w:br/>
        <w:t>pipe = Pipeline([('prepare', prep), ('model', model)])</w:t>
      </w:r>
    </w:p>
    <w:p>
      <w:pPr>
        <w:spacing w:after="120" w:line="252" w:lineRule="auto"/>
        <w:shd w:fill="F4F8FC"/>
      </w:pPr>
      <w:r>
        <w:rPr>
          <w:rFonts w:ascii="DejaVu Sans Mono" w:hAnsi="DejaVu Sans Mono"/>
          <w:color w:val="1A2B40"/>
          <w:sz w:val="16"/>
        </w:rPr>
        <w:t>train, test = train_test_split(raw.index, test_size=.2,</w:t>
        <w:br/>
        <w:t xml:space="preserve">    stratify=y, random_state=42)</w:t>
        <w:br/>
        <w:t>cv = StratifiedKFold(n_splits=5, shuffle=True,</w:t>
        <w:br/>
        <w:t xml:space="preserve">                    random_state=42)</w:t>
        <w:br/>
        <w:t>result = cross_validate(pipe, x.loc[train], y.loc[train],</w:t>
        <w:br/>
        <w:t xml:space="preserve">    cv=cv, scoring={'auc': 'roc_auc',</w:t>
        <w:br/>
        <w:t xml:space="preserve">                   'accuracy': 'accuracy', 'f1': 'f1'},</w:t>
        <w:br/>
        <w:t xml:space="preserve">    return_train_score=True)</w:t>
        <w:br/>
        <w:t># Repeat for the three fixed candidates, then select by CV.</w:t>
        <w:br/>
        <w:t>selected = max(models,</w:t>
        <w:br/>
        <w:t xml:space="preserve">    key=lambda n: np.mean(scores[n]['test_auc']))</w:t>
        <w:br/>
        <w:t># Each pipeline is fitted on development records only.</w:t>
        <w:br/>
        <w:t>p = fitted[selected].predict_proba(x.loc[test])[:, 1]</w:t>
        <w:br/>
        <w:t>prediction = (p &gt;= .5).astype(int)</w:t>
      </w:r>
    </w:p>
    <w:p>
      <w:pPr>
        <w:ind w:firstLine="360"/>
        <w:jc w:val="both"/>
      </w:pPr>
      <w:r>
        <w:t>Install requirements.txt in a Python 3.12 environment and run python weeks/week04/analysis.py. Results include results.json, model_metrics.csv, test_predictions.csv, subgroup_metrics.csv, split.csv and four PNG figures. The split manifest uses zero-based source row numbers, not unique passenger identifiers. Package versions and the dataset SHA256 are recorded in results.json.</w:t>
      </w:r>
    </w:p>
    <w:p>
      <w:pPr>
        <w:pStyle w:val="Heading1"/>
        <w:pageBreakBefore/>
        <w:spacing w:before="0"/>
      </w:pPr>
      <w:r>
        <w:rPr>
          <w:rFonts w:ascii="CMU Serif" w:hAnsi="CMU Serif"/>
          <w:color w:val="0A1628"/>
        </w:rPr>
        <w:t>9.  Conclusions and references</w:t>
      </w:r>
    </w:p>
    <w:p>
      <w:pPr>
        <w:ind w:firstLine="360"/>
        <w:jc w:val="both"/>
      </w:pPr>
      <w:r>
        <w:t>The experiment meets the Week 4 objective by preparing features, comparing a baseline and two basic algorithms, selecting a model on development data, and evaluating its predictions with multiple metrics and visualizations. Logistic regression is the selected candidate, with 82.1% test accuracy and 0.845 ROC AUC. Its advantage over the baseline is clear in this split, but the comparison does not establish universal superiority over trees or other classifiers.</w:t>
      </w:r>
    </w:p>
    <w:p>
      <w:pPr>
        <w:ind w:firstLine="360"/>
        <w:jc w:val="both"/>
      </w:pPr>
      <w:r>
        <w:t>The most important practical lesson is that a good aggregate score does not remove the need to inspect errors. The selected model misses 21 actual survivors, all male in this split, and its female false-positive rate is high. Together with historical sampling, missing covariates and prior full-data exploration, these findings limit the conclusions to an educational internal benchmark. Week 5 synthesizes these results with the earlier statistical evidence and turns them into proportionate research and process recommendations.</w:t>
      </w:r>
    </w:p>
    <w:p>
      <w:pPr>
        <w:spacing w:line="252" w:lineRule="auto"/>
      </w:pPr>
      <w:r>
        <w:rPr>
          <w:sz w:val="18"/>
        </w:rPr>
        <w:t>[1] Seaborn example-data repository, Titanic CSV. https://github.com/mwaskom/seaborn-data/blob/master/titanic.csv</w:t>
      </w:r>
    </w:p>
    <w:p>
      <w:pPr>
        <w:spacing w:line="252" w:lineRule="auto"/>
      </w:pPr>
      <w:r>
        <w:rPr>
          <w:sz w:val="18"/>
        </w:rPr>
        <w:t>[2] scikit-learn, Common pitfalls and recommended practices. https://scikit-learn.org/stable/common_pitfalls.html</w:t>
      </w:r>
    </w:p>
    <w:p>
      <w:pPr>
        <w:spacing w:line="252" w:lineRule="auto"/>
      </w:pPr>
      <w:r>
        <w:rPr>
          <w:sz w:val="18"/>
        </w:rPr>
        <w:t>[3] scikit-learn, Cross-validation: evaluating estimator performance. https://scikit-learn.org/stable/modules/cross_validation.html</w:t>
      </w:r>
    </w:p>
    <w:p>
      <w:pPr>
        <w:spacing w:line="252" w:lineRule="auto"/>
      </w:pPr>
      <w:r>
        <w:rPr>
          <w:sz w:val="18"/>
        </w:rPr>
        <w:t>[4] scikit-learn, Classification metrics. https://scikit-learn.org/stable/modules/model_evaluation.html</w:t>
      </w:r>
    </w:p>
    <w:p>
      <w:pPr>
        <w:spacing w:line="252" w:lineRule="auto"/>
      </w:pPr>
      <w:r>
        <w:rPr>
          <w:sz w:val="18"/>
        </w:rPr>
        <w:t>[5] Project evidence: supplied Week 1 and Week 2 reports; Week 3 report and outputs/results.json; Week 4 analysis.py and outputs.</w:t>
      </w:r>
    </w:p>
    <w:p>
      <w:pPr>
        <w:pStyle w:val="Heading2"/>
      </w:pPr>
      <w:r>
        <w:rPr>
          <w:rFonts w:ascii="CMU Serif" w:hAnsi="CMU Serif"/>
          <w:color w:val="0A1628"/>
        </w:rPr>
        <w:t>Execution environment</w:t>
      </w:r>
    </w:p>
    <w:p>
      <w:pPr>
        <w:ind w:firstLine="360"/>
        <w:jc w:val="both"/>
      </w:pPr>
      <w:r>
        <w:t>The analysis was executed with Python 3.12.14, scikit-learn 1.8.0, pandas 2.2.3 and NumPy 2.3.5. Seeds are fixed at 42. Numerical values shown in the report are rounded from saved outputs. No elapsed internship hours, external deployment or operational benefits are claimed.</w:t>
      </w:r>
    </w:p>
    <w:sectPr w:rsidR="00FC693F" w:rsidRPr="0006063C" w:rsidSect="00034616">
      <w:headerReference w:type="default" r:id="rId9"/>
      <w:footerReference w:type="default" r:id="rId10"/>
      <w:pgSz w:w="11906" w:h="16838"/>
      <w:pgMar w:top="1440" w:right="1417" w:bottom="1440" w:left="1701" w:header="708" w:footer="708"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CMU Serif" w:hAnsi="CMU Serif"/>
        <w:color w:val="6878A0"/>
        <w:sz w:val="18"/>
      </w:rPr>
      <w:t xml:space="preserve">Page </w:t>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Bdr>
        <w:bottom w:val="single" w:sz="4" w:space="5" w:color="5B8DB8"/>
      </w:pBdr>
    </w:pPr>
    <w:r>
      <w:rPr>
        <w:rFonts w:ascii="Calibri" w:hAnsi="Calibri"/>
        <w:i/>
        <w:color w:val="6878A0"/>
        <w:sz w:val="18"/>
      </w:rPr>
      <w:t>Machine Learning Development and Evaluation</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r>
      <w:drawing>
        <wp:anchor distT="0" distB="0" distL="0" distR="0" simplePos="0" relativeHeight="0" behindDoc="1" locked="0" layoutInCell="0" allowOverlap="1">
          <wp:simplePos x="0" y="0"/>
          <wp:positionH relativeFrom="page">
            <wp:posOffset>0</wp:posOffset>
          </wp:positionH>
          <wp:positionV relativeFrom="page">
            <wp:posOffset>0</wp:posOffset>
          </wp:positionV>
          <wp:extent cx="7560310" cy="10692130"/>
          <wp:wrapNone/>
          <wp:docPr id="1" name="Picture 1"/>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cover_background.png"/>
                  <pic:cNvPicPr/>
                </pic:nvPicPr>
                <pic:blipFill>
                  <a:blip r:embed="rId1"/>
                  <a:stretch>
                    <a:fillRect/>
                  </a:stretch>
                </pic:blipFill>
                <pic:spPr>
                  <a:xfrm>
                    <a:off x="0" y="0"/>
                    <a:ext cx="7560310" cy="10692130"/>
                  </a:xfrm>
                  <a:prstGeom prst="rect"/>
                </pic:spPr>
              </pic:pic>
            </a:graphicData>
          </a:graphic>
        </wp:anchor>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MU Serif" w:hAnsi="CMU Serif"/>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80"/>
      <w:outlineLvl w:val="0"/>
    </w:pPr>
    <w:rPr>
      <w:rFonts w:asciiTheme="majorHAnsi" w:eastAsiaTheme="majorEastAsia" w:hAnsiTheme="majorHAnsi" w:cstheme="majorBidi" w:ascii="CMU Serif" w:hAnsi="CMU Serif"/>
      <w:b/>
      <w:bCs/>
      <w:color w:val="0A1628"/>
      <w:sz w:val="32"/>
      <w:szCs w:val="28"/>
    </w:rPr>
  </w:style>
  <w:style w:type="paragraph" w:styleId="Heading2">
    <w:name w:val="heading 2"/>
    <w:basedOn w:val="Normal"/>
    <w:next w:val="Normal"/>
    <w:link w:val="Heading2Char"/>
    <w:uiPriority w:val="9"/>
    <w:unhideWhenUsed/>
    <w:qFormat/>
    <w:rsid w:val="00FC693F"/>
    <w:pPr>
      <w:keepNext/>
      <w:keepLines/>
      <w:spacing w:before="320" w:after="180"/>
      <w:outlineLvl w:val="1"/>
    </w:pPr>
    <w:rPr>
      <w:rFonts w:asciiTheme="majorHAnsi" w:eastAsiaTheme="majorEastAsia" w:hAnsiTheme="majorHAnsi" w:cstheme="majorBidi" w:ascii="CMU Serif" w:hAnsi="CMU Serif"/>
      <w:b/>
      <w:bCs/>
      <w:color w:val="0A1628"/>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b/>
      <w:bCs/>
      <w:color w:val="6878A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header" Target="header2.xml"/><Relationship Id="rId16" Type="http://schemas.openxmlformats.org/officeDocument/2006/relationships/footer" Target="footer2.xml"/><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3 Statistical Analysis and Hypothesis Testing</dc:title>
  <dc:subject>Titanic survival statistical analysis</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