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b w:val="0"/>
          <w:sz w:val="24"/>
        </w:rPr>
        <w:t>Failure-Aware Smartphone Inertial Dead Reckoning Under GNSS Outages: An Empirical Study of Learned Velocity, Sensor Fusion, Map Constraints, and Distribution Shift</w:t>
      </w:r>
    </w:p>
    <w:p>
      <w:pPr>
        <w:spacing w:before="0" w:after="0" w:line="240" w:lineRule="auto"/>
        <w:jc w:val="center"/>
      </w:pPr>
      <w:r>
        <w:rPr>
          <w:rFonts w:ascii="Times New Roman" w:hAnsi="Times New Roman"/>
          <w:i/>
          <w:sz w:val="24"/>
        </w:rPr>
        <w:t>Short running title: Failure-Aware Smartphone Dead Reckoning</w:t>
      </w:r>
    </w:p>
    <w:p>
      <w:pPr>
        <w:spacing w:before="0" w:after="0" w:line="240" w:lineRule="auto"/>
        <w:jc w:val="center"/>
      </w:pPr>
      <w:r>
        <w:rPr>
          <w:rFonts w:ascii="Times New Roman" w:hAnsi="Times New Roman"/>
          <w:b w:val="0"/>
          <w:sz w:val="24"/>
        </w:rPr>
        <w:t>Rahul Kumar</w:t>
      </w:r>
    </w:p>
    <w:p>
      <w:pPr>
        <w:spacing w:before="0" w:after="0" w:line="240" w:lineRule="auto"/>
        <w:jc w:val="center"/>
      </w:pPr>
      <w:r>
        <w:rPr>
          <w:rFonts w:ascii="Times New Roman" w:hAnsi="Times New Roman"/>
          <w:sz w:val="24"/>
        </w:rPr>
        <w:t>Integrated M.Tech. (Materials Engineering), School of Engineering Sciences &amp; Technology, University of Hyderabad, Hyderabad, India</w:t>
      </w:r>
    </w:p>
    <w:p>
      <w:pPr>
        <w:spacing w:before="0" w:after="0" w:line="240" w:lineRule="auto"/>
        <w:jc w:val="center"/>
      </w:pPr>
      <w:r>
        <w:rPr>
          <w:rFonts w:ascii="Times New Roman" w:hAnsi="Times New Roman"/>
          <w:sz w:val="24"/>
        </w:rPr>
        <w:t>Corresponding author email: 24etim23@uohyd.ac.in</w:t>
      </w:r>
    </w:p>
    <w:p>
      <w:pPr>
        <w:spacing w:before="0" w:after="0" w:line="240" w:lineRule="auto"/>
        <w:jc w:val="left"/>
      </w:pPr>
      <w:r>
        <w:rPr>
          <w:rFonts w:ascii="Times New Roman" w:hAnsi="Times New Roman"/>
          <w:b w:val="0"/>
          <w:sz w:val="24"/>
        </w:rPr>
        <w:t>Abstract</w:t>
      </w:r>
    </w:p>
    <w:p>
      <w:pPr>
        <w:spacing w:before="0" w:after="0" w:line="240" w:lineRule="auto"/>
        <w:jc w:val="both"/>
      </w:pPr>
      <w:r>
        <w:rPr>
          <w:rFonts w:ascii="Times New Roman" w:hAnsi="Times New Roman"/>
          <w:sz w:val="24"/>
        </w:rPr>
        <w:t>During Global Navigation Satellite System (GNSS) outages, smartphone inertial dead reckoning suffers from rapid nonlinear open-loop position drift. We present an empirical study evaluating learned forward velocity estimation, sensor fusion, kinematic constraints, map feedback, and distribution shifts using the public IO-VNBD benchmark dataset (64 passenger-car trips, 16.27 hours). On 19 trip-disjoint test routes, scaling a causal temporal convolutional network from 6 to 39 training trips reduces velocity error by 55.27% (6.17 to 2.76 m/s) and 60-second drift by 64.72% (263.6 to 93.0 m). Unconditional lateral kinematic constraints degrade 60-second drift by 45.47%, and closed-loop map heading feedback degrades drift by 125.5%. Across 13 usable 60-second blackout trajectories, adaptive fusion achieves 96.65 m mean absolute drift and 16.76% macro-average normalized drift across 12 dynamic routes (excluding stationary control Vw15), satisfying a sub-10% drift benchmark on 3 of 13 routes (23.08%). Physical road validation and multi-driver generalisation remain open challenges.</w:t>
      </w:r>
    </w:p>
    <w:p>
      <w:pPr>
        <w:keepNext/>
        <w:spacing w:before="0" w:after="0" w:line="240" w:lineRule="auto"/>
        <w:jc w:val="left"/>
      </w:pPr>
      <w:r>
        <w:rPr>
          <w:rFonts w:ascii="Times New Roman" w:hAnsi="Times New Roman"/>
          <w:b w:val="0"/>
          <w:sz w:val="24"/>
        </w:rPr>
        <w:t>1. Introduction</w:t>
      </w:r>
    </w:p>
    <w:p>
      <w:pPr>
        <w:spacing w:before="0" w:after="0" w:line="240" w:lineRule="auto"/>
        <w:ind w:firstLine="0"/>
        <w:jc w:val="both"/>
      </w:pPr>
      <w:r>
        <w:rPr>
          <w:rFonts w:ascii="Times New Roman" w:hAnsi="Times New Roman"/>
          <w:color w:val="000000"/>
          <w:sz w:val="24"/>
        </w:rPr>
        <w:t>Continuous vehicular positioning represents an essential requirement for intelligent transportation systems, connected vehicles, and automated navigation services. In open sky conditions, Global Navigation Satellite Systems (GNSS) deliver consistent horizontal positioning with errors typically below five metres. However, satellite reception is regularly degraded or lost in urban street canyons, road tunnels, covered multi-level interchanges, and subterranean parking facilities. In these GNSS-denied environments, vehicles must rely on autonomous dead reckoning to propagate position estimates from the last known satellite fix (Groves, 2013; Titterton and Weston, 2004).</w:t>
      </w:r>
    </w:p>
    <w:p>
      <w:pPr>
        <w:spacing w:before="0" w:after="0" w:line="240" w:lineRule="auto"/>
        <w:ind w:firstLine="0"/>
        <w:jc w:val="both"/>
      </w:pPr>
      <w:r>
        <w:rPr>
          <w:rFonts w:ascii="Times New Roman" w:hAnsi="Times New Roman"/>
          <w:color w:val="000000"/>
          <w:sz w:val="24"/>
        </w:rPr>
        <w:t>Automotive dead reckoning traditionally employs factory-installed wheel speed encoders connected via Controller Area Network (CAN) diagnostic buses, combined with tactical-grade inertial measurement units (IMUs) rigidly mounted to the vehicle chassis (Dissanayake et al., 2001; Sukkarieh et al., 1999). Conversely, consumer smartphones serve as the primary navigation terminal for millions of motorists worldwide. Consumer smartphones incorporate low-cost micro-electromechanical system (MEMS) accelerometers and gyroscopes. These sensors exhibit severe run-to-run bias instability, thermal sensitivity, scale-factor non-linearities, and high acoustic noise floors.</w:t>
      </w:r>
    </w:p>
    <w:p>
      <w:pPr>
        <w:spacing w:before="0" w:after="0" w:line="240" w:lineRule="auto"/>
        <w:ind w:firstLine="0"/>
        <w:jc w:val="both"/>
      </w:pPr>
      <w:r>
        <w:rPr>
          <w:rFonts w:ascii="Times New Roman" w:hAnsi="Times New Roman"/>
          <w:color w:val="000000"/>
          <w:sz w:val="24"/>
        </w:rPr>
        <w:t xml:space="preserve">Unconstrained open-loop integration of raw specific forces and angular velocities leads to rapid nonlinear open-loop position drift. For a constant residual accelerometer bias </w:t>
      </w:r>
      <m:oMath>
        <m:sSub>
          <m:e>
            <m:r>
              <m:t>b</m:t>
            </m:r>
          </m:e>
          <m:sub>
            <m:r>
              <m:t>a</m:t>
            </m:r>
          </m:sub>
        </m:sSub>
      </m:oMath>
      <w:r>
        <w:rPr>
          <w:rFonts w:ascii="Times New Roman" w:hAnsi="Times New Roman"/>
          <w:color w:val="000000"/>
          <w:sz w:val="24"/>
        </w:rPr>
        <w:t xml:space="preserve"> along the travel axis, open-loop double integration produces quadratic position error, </w:t>
      </w:r>
      <m:oMath>
        <m:r>
          <m:t>Δp(t)=</m:t>
        </m:r>
        <m:f>
          <m:fPr>
            <m:type m:val="bar"/>
          </m:fPr>
          <m:num>
            <m:r>
              <m:t>1</m:t>
            </m:r>
          </m:num>
          <m:den>
            <m:r>
              <m:t>2</m:t>
            </m:r>
          </m:den>
        </m:f>
        <m:sSub>
          <m:e>
            <m:r>
              <m:t>b</m:t>
            </m:r>
          </m:e>
          <m:sub>
            <m:r>
              <m:t>a</m:t>
            </m:r>
          </m:sub>
        </m:sSub>
        <m:sSup>
          <m:e>
            <m:r>
              <m:t>t</m:t>
            </m:r>
          </m:e>
          <m:sup>
            <m:r>
              <m:t>2</m:t>
            </m:r>
          </m:sup>
        </m:sSup>
      </m:oMath>
      <w:r>
        <w:rPr>
          <w:rFonts w:ascii="Times New Roman" w:hAnsi="Times New Roman"/>
          <w:color w:val="000000"/>
          <w:sz w:val="24"/>
        </w:rPr>
        <w:t xml:space="preserve">. Simultaneously, uncompensated gyroscope bias </w:t>
      </w:r>
      <m:oMath>
        <m:sSub>
          <m:e>
            <m:r>
              <m:t>b</m:t>
            </m:r>
          </m:e>
          <m:sub>
            <m:r>
              <m:t>g</m:t>
            </m:r>
          </m:sub>
        </m:sSub>
      </m:oMath>
      <w:r>
        <w:rPr>
          <w:rFonts w:ascii="Times New Roman" w:hAnsi="Times New Roman"/>
          <w:color w:val="000000"/>
          <w:sz w:val="24"/>
        </w:rPr>
        <w:t xml:space="preserve"> induces linear orientation error </w:t>
      </w:r>
      <m:oMath>
        <m:r>
          <m:t>δθ(t)≈</m:t>
        </m:r>
        <m:sSub>
          <m:e>
            <m:r>
              <m:t>b</m:t>
            </m:r>
          </m:e>
          <m:sub>
            <m:r>
              <m:t>g</m:t>
            </m:r>
          </m:sub>
        </m:sSub>
        <m:r>
          <m:t>t</m:t>
        </m:r>
      </m:oMath>
      <w:r>
        <w:rPr>
          <w:rFonts w:ascii="Times New Roman" w:hAnsi="Times New Roman"/>
          <w:color w:val="000000"/>
          <w:sz w:val="24"/>
        </w:rPr>
        <w:t xml:space="preserve">, which misprojects the gravitational acceleration vector </w:t>
      </w:r>
      <m:oMath>
        <m:r>
          <m:t>𝐠</m:t>
        </m:r>
      </m:oMath>
      <w:r>
        <w:rPr>
          <w:rFonts w:ascii="Times New Roman" w:hAnsi="Times New Roman"/>
          <w:color w:val="000000"/>
          <w:sz w:val="24"/>
        </w:rPr>
        <w:t xml:space="preserve"> into the horizontal plane and produces a cubic position error </w:t>
      </w:r>
      <m:oMath>
        <m:f>
          <m:fPr>
            <m:type m:val="bar"/>
          </m:fPr>
          <m:num>
            <m:r>
              <m:t>1</m:t>
            </m:r>
          </m:num>
          <m:den>
            <m:r>
              <m:t>6</m:t>
            </m:r>
          </m:den>
        </m:f>
        <m:r>
          <m:t>g</m:t>
        </m:r>
        <m:sSub>
          <m:e>
            <m:r>
              <m:t>b</m:t>
            </m:r>
          </m:e>
          <m:sub>
            <m:r>
              <m:t>g</m:t>
            </m:r>
          </m:sub>
        </m:sSub>
        <m:sSup>
          <m:e>
            <m:r>
              <m:t>t</m:t>
            </m:r>
          </m:e>
          <m:sup>
            <m:r>
              <m:t>3</m:t>
            </m:r>
          </m:sup>
        </m:sSup>
      </m:oMath>
      <w:r>
        <w:rPr>
          <w:rFonts w:ascii="Times New Roman" w:hAnsi="Times New Roman"/>
          <w:color w:val="000000"/>
          <w:sz w:val="24"/>
        </w:rPr>
        <w:t>. The combined horizontal position divergence follows:</w:t>
      </w:r>
    </w:p>
    <w:tbl>
      <w:tblPr>
        <w:tblW w:type="auto" w:w="0"/>
        <w:jc w:val="center"/>
        <w:tblLook w:firstColumn="1" w:firstRow="1" w:lastColumn="0" w:lastRow="0" w:noHBand="0" w:noVBand="1" w:val="04A0"/>
      </w:tblPr>
      <w:tblGrid>
        <w:gridCol w:w="4680"/>
        <w:gridCol w:w="4680"/>
      </w:tblGrid>
      <w:tr>
        <w:trPr>
          <w:cantSplit/>
        </w:trPr>
        <w:tc>
          <w:tcPr>
            <w:tcW w:type="dxa" w:w="8208"/>
            <w:tcMar>
              <w:top w:w="0" w:type="dxa"/>
              <w:bottom w:w="0" w:type="dxa"/>
              <w:left w:w="0" w:type="dxa"/>
              <w:right w:w="0" w:type="dxa"/>
            </w:tcMar>
            <w:tcBorders>
              <w:top w:val="none"/>
              <w:left w:val="none"/>
              <w:bottom w:val="none"/>
              <w:right w:val="none"/>
            </w:tcBorders>
          </w:tcPr>
          <w:p>
            <w:pPr>
              <w:spacing w:line="240" w:lineRule="auto" w:before="0" w:after="0"/>
              <w:jc w:val="center"/>
            </w:pPr>
            <m:oMath>
              <m:r>
                <m:t>Δp(t)=</m:t>
              </m:r>
              <m:f>
                <m:fPr>
                  <m:type m:val="bar"/>
                </m:fPr>
                <m:num>
                  <m:r>
                    <m:t>1</m:t>
                  </m:r>
                </m:num>
                <m:den>
                  <m:r>
                    <m:t>2</m:t>
                  </m:r>
                </m:den>
              </m:f>
              <m:sSub>
                <m:e>
                  <m:r>
                    <m:t>b</m:t>
                  </m:r>
                </m:e>
                <m:sub>
                  <m:r>
                    <m:t>a</m:t>
                  </m:r>
                </m:sub>
              </m:sSub>
              <m:sSup>
                <m:e>
                  <m:r>
                    <m:t>t</m:t>
                  </m:r>
                </m:e>
                <m:sup>
                  <m:r>
                    <m:t>2</m:t>
                  </m:r>
                </m:sup>
              </m:sSup>
              <m:r>
                <m:t>+</m:t>
              </m:r>
              <m:f>
                <m:fPr>
                  <m:type m:val="bar"/>
                </m:fPr>
                <m:num>
                  <m:r>
                    <m:t>1</m:t>
                  </m:r>
                </m:num>
                <m:den>
                  <m:r>
                    <m:t>6</m:t>
                  </m:r>
                </m:den>
              </m:f>
              <m:r>
                <m:t>g</m:t>
              </m:r>
              <m:sSub>
                <m:e>
                  <m:r>
                    <m:t>b</m:t>
                  </m:r>
                </m:e>
                <m:sub>
                  <m:r>
                    <m:t>g</m:t>
                  </m:r>
                </m:sub>
              </m:sSub>
              <m:sSup>
                <m:e>
                  <m:r>
                    <m:t>t</m:t>
                  </m:r>
                </m:e>
                <m:sup>
                  <m:r>
                    <m:t>3</m:t>
                  </m:r>
                </m:sup>
              </m:sSup>
            </m:oMath>
          </w:p>
        </w:tc>
        <w:tc>
          <w:tcPr>
            <w:tcW w:type="dxa" w:w="1152"/>
            <w:tcMar>
              <w:top w:w="0" w:type="dxa"/>
              <w:bottom w:w="0" w:type="dxa"/>
              <w:left w:w="0" w:type="dxa"/>
              <w:right w:w="0" w:type="dxa"/>
            </w:tcMar>
            <w:tcBorders>
              <w:top w:val="none"/>
              <w:left w:val="none"/>
              <w:bottom w:val="none"/>
              <w:right w:val="none"/>
            </w:tcBorders>
          </w:tcPr>
          <w:p>
            <w:pPr>
              <w:spacing w:line="240" w:lineRule="auto" w:before="0" w:after="0"/>
              <w:jc w:val="right"/>
            </w:pPr>
            <w:r>
              <w:rPr>
                <w:rFonts w:ascii="Times New Roman" w:hAnsi="Times New Roman"/>
                <w:sz w:val="24"/>
              </w:rPr>
              <w:t>(1)</w:t>
            </w:r>
          </w:p>
        </w:tc>
      </w:tr>
    </w:tbl>
    <w:p>
      <w:pPr>
        <w:spacing w:before="0" w:after="0" w:line="240" w:lineRule="auto"/>
        <w:ind w:firstLine="0"/>
        <w:jc w:val="both"/>
      </w:pPr>
      <w:r>
        <w:rPr>
          <w:rFonts w:ascii="Times New Roman" w:hAnsi="Times New Roman"/>
          <w:color w:val="000000"/>
          <w:sz w:val="24"/>
        </w:rPr>
        <w:t xml:space="preserve">where </w:t>
      </w:r>
      <m:oMath>
        <m:sSub>
          <m:e>
            <m:r>
              <m:t>b</m:t>
            </m:r>
          </m:e>
          <m:sub>
            <m:r>
              <m:t>a</m:t>
            </m:r>
          </m:sub>
        </m:sSub>
      </m:oMath>
      <w:r>
        <w:rPr>
          <w:rFonts w:ascii="Times New Roman" w:hAnsi="Times New Roman"/>
          <w:color w:val="000000"/>
          <w:sz w:val="24"/>
        </w:rPr>
        <w:t xml:space="preserve"> denotes residual accelerometer bias, </w:t>
      </w:r>
      <m:oMath>
        <m:sSub>
          <m:e>
            <m:r>
              <m:t>b</m:t>
            </m:r>
          </m:e>
          <m:sub>
            <m:r>
              <m:t>g</m:t>
            </m:r>
          </m:sub>
        </m:sSub>
      </m:oMath>
      <w:r>
        <w:rPr>
          <w:rFonts w:ascii="Times New Roman" w:hAnsi="Times New Roman"/>
          <w:color w:val="000000"/>
          <w:sz w:val="24"/>
        </w:rPr>
        <w:t xml:space="preserve"> denotes gyroscope bias, and </w:t>
      </w:r>
      <m:oMath>
        <m:r>
          <m:t>g≈9.81</m:t>
        </m:r>
        <m:sSup>
          <m:e>
            <m:r>
              <m:rPr>
                <m:nor/>
              </m:rPr>
              <m:t> m/s</m:t>
            </m:r>
          </m:e>
          <m:sup>
            <m:r>
              <m:t>2</m:t>
            </m:r>
          </m:sup>
        </m:sSup>
      </m:oMath>
      <w:r>
        <w:rPr>
          <w:rFonts w:ascii="Times New Roman" w:hAnsi="Times New Roman"/>
          <w:color w:val="000000"/>
          <w:sz w:val="24"/>
        </w:rPr>
        <w:t xml:space="preserve"> is gravitational acceleration. With a residual acceleration bias of </w:t>
      </w:r>
      <m:oMath>
        <m:r>
          <m:t>0.05</m:t>
        </m:r>
        <m:sSup>
          <m:e>
            <m:r>
              <m:rPr>
                <m:nor/>
              </m:rPr>
              <m:t> m/s</m:t>
            </m:r>
          </m:e>
          <m:sup>
            <m:r>
              <m:t>2</m:t>
            </m:r>
          </m:sup>
        </m:sSup>
      </m:oMath>
      <w:r>
        <w:rPr>
          <w:rFonts w:ascii="Times New Roman" w:hAnsi="Times New Roman"/>
          <w:color w:val="000000"/>
          <w:sz w:val="24"/>
        </w:rPr>
        <w:t>, unconstrained integration produces approximately 2.5 metres of quadratic position error after 10 seconds, 22.5 metres after 30 seconds, and 90 metres after 60 seconds; when coupled with gyro-induced gravity misprojection, position drift rapidly exceeds 300 metres within 60 seconds. This mathematical divergence renders raw strapdown inertial integration incapable of sustaining vehicular lane identification during sustained satellite blackouts.</w:t>
      </w:r>
    </w:p>
    <w:p>
      <w:pPr>
        <w:spacing w:before="0" w:after="0" w:line="240" w:lineRule="auto"/>
        <w:ind w:firstLine="0"/>
        <w:jc w:val="both"/>
      </w:pPr>
      <w:r>
        <w:rPr>
          <w:rFonts w:ascii="Times New Roman" w:hAnsi="Times New Roman"/>
          <w:color w:val="000000"/>
          <w:sz w:val="24"/>
        </w:rPr>
        <w:t>To mitigate this divergence without requiring vehicle wiring or external hardware, two principal methodologies have been investigated:</w:t>
        <w:br/>
        <w:t>First, classical kinematic filtering incorporates non-holonomic constraints (NHC) under the assumption that a wheeled vehicle cannot slide laterally or lift off vertically during normal road driving (Dissanayake et al., 2001; Klein et al., 2008; Shen et al., 2019), zero-velocity updates (ZUPT) during stationary halts (Skog et al., 2010), and digital road map matching (Quddus et al., 2007; White et al., 2000). Second, data-driven sequence learning applies temporal convolutional networks (TCN), convolutional backbones, and recurrent networks to estimate forward vehicle speed directly from sliding windows of inertial measurements (Bai et al., 2018; Brossard et al., 2020; Qian et al., 2025; Shin et al., 2025; Xiao et al., 2025; Yan et al., 2020).</w:t>
      </w:r>
    </w:p>
    <w:p>
      <w:pPr>
        <w:spacing w:before="0" w:after="0" w:line="240" w:lineRule="auto"/>
        <w:ind w:firstLine="0"/>
        <w:jc w:val="both"/>
      </w:pPr>
      <w:r>
        <w:rPr>
          <w:rFonts w:ascii="Times New Roman" w:hAnsi="Times New Roman"/>
          <w:color w:val="000000"/>
          <w:sz w:val="24"/>
        </w:rPr>
        <w:t>Despite encouraging published metrics, practical questions persist regarding the limits of smartphone-only dead reckoning. Existing studies frequently evaluate performance over brief artificial outages (5 to 15 seconds), test on windows sampled from the same driving trips used for training (inducing temporal feature leakage), or assume that standard kinematic constraints and map feedback operate stably on consumer devices without examining failure modes.</w:t>
      </w:r>
    </w:p>
    <w:p>
      <w:pPr>
        <w:spacing w:before="0" w:after="0" w:line="240" w:lineRule="auto"/>
        <w:ind w:firstLine="0"/>
        <w:jc w:val="both"/>
      </w:pPr>
      <w:r>
        <w:rPr>
          <w:rFonts w:ascii="Times New Roman" w:hAnsi="Times New Roman"/>
          <w:color w:val="000000"/>
          <w:sz w:val="24"/>
        </w:rPr>
        <w:t>In this study, we present an evidence-based empirical study examining the behaviour, scaling properties, failure modes, and deployment realities of smartphone-based dead reckoning under extended GNSS blackouts up to 60 seconds. Operating on the public IO-VNBD benchmark dataset (Onyekpe et al., 2021) and on-device Android execution, the contributions of this study are:</w:t>
      </w:r>
    </w:p>
    <w:p>
      <w:pPr>
        <w:spacing w:before="0" w:after="0" w:line="240" w:lineRule="auto"/>
        <w:ind w:firstLine="0"/>
        <w:jc w:val="both"/>
      </w:pPr>
      <w:r>
        <w:rPr>
          <w:rFonts w:ascii="Times New Roman" w:hAnsi="Times New Roman"/>
          <w:color w:val="000000"/>
          <w:sz w:val="24"/>
        </w:rPr>
        <w:t>1. Multi-trip training scaling: We quantify the empirical effect of scaling training data from 6 to 39 whole trips across 19 strictly held-out test routes (240.6 km, 115,420 synchronized epochs, 113,539 prediction windows), demonstrating a 55.27% reduction in velocity error and a 64.72% reduction in 60-second position drift.</w:t>
      </w:r>
    </w:p>
    <w:p>
      <w:pPr>
        <w:spacing w:before="0" w:after="0" w:line="240" w:lineRule="auto"/>
        <w:ind w:firstLine="0"/>
        <w:jc w:val="both"/>
      </w:pPr>
      <w:r>
        <w:rPr>
          <w:rFonts w:ascii="Times New Roman" w:hAnsi="Times New Roman"/>
          <w:color w:val="000000"/>
          <w:sz w:val="24"/>
        </w:rPr>
        <w:t>2. Kinematic constraint failure analysis: We evaluate standard unconditional lateral NHC updates on smartphone telemetry, demonstrating that unmodelled mounting misalignment and vehicle sideslip degrade 60-second drift by 45.47%. We evaluate a decoupled lateral velocity damping formulation that isolates linear velocity damping from attitude states, recovering performance by 54.62%.</w:t>
      </w:r>
    </w:p>
    <w:p>
      <w:pPr>
        <w:spacing w:before="0" w:after="0" w:line="240" w:lineRule="auto"/>
        <w:ind w:firstLine="0"/>
        <w:jc w:val="both"/>
      </w:pPr>
      <w:r>
        <w:rPr>
          <w:rFonts w:ascii="Times New Roman" w:hAnsi="Times New Roman"/>
          <w:color w:val="000000"/>
          <w:sz w:val="24"/>
        </w:rPr>
        <w:t>3. Map-feedback failure characterisation: In the tested implementation, closed-loop road network heading feedback degrades 60-second drift by 125.47% (578.3 to 1303.9 m) due to candidate link ambiguity and heading latching during turns.</w:t>
      </w:r>
    </w:p>
    <w:p>
      <w:pPr>
        <w:spacing w:before="0" w:after="0" w:line="240" w:lineRule="auto"/>
        <w:ind w:firstLine="0"/>
        <w:jc w:val="both"/>
      </w:pPr>
      <w:r>
        <w:rPr>
          <w:rFonts w:ascii="Times New Roman" w:hAnsi="Times New Roman"/>
          <w:color w:val="000000"/>
          <w:sz w:val="24"/>
        </w:rPr>
        <w:t>4. Operational boundary assessment: We evaluate the system under high-speed highway cruising and spectral vibration features across 64 trips (&gt;450,000 windows), establishing that spectral vibration features at 10 Hz exhibit near-zero correlation with vehicle speed (</w:t>
      </w:r>
      <m:oMath>
        <m:r>
          <m:t>r=−0.032,ρ=−0.028</m:t>
        </m:r>
      </m:oMath>
      <w:r>
        <w:rPr>
          <w:rFonts w:ascii="Times New Roman" w:hAnsi="Times New Roman"/>
          <w:color w:val="000000"/>
          <w:sz w:val="24"/>
        </w:rPr>
        <w:t>), consistent with low-frequency vehicle-body/chassis dynamics, while constant-speed cruising exhibits weak statistical separability (ROC-AUC = 0.625) and negative regression bias (-3.5 m/s). We further document an out-of-distribution velocity spike (71.66 m/s) induced by pedestrian arm swing, mitigated to 27.71 m/s via channel ablation.</w:t>
      </w:r>
    </w:p>
    <w:p>
      <w:pPr>
        <w:spacing w:before="0" w:after="0" w:line="240" w:lineRule="auto"/>
        <w:ind w:firstLine="0"/>
        <w:jc w:val="both"/>
      </w:pPr>
      <w:r>
        <w:rPr>
          <w:rFonts w:ascii="Times New Roman" w:hAnsi="Times New Roman"/>
          <w:color w:val="000000"/>
          <w:sz w:val="24"/>
        </w:rPr>
        <w:t xml:space="preserve">5. Android mobile edge deployment: We evaluate on-device execution on a consumer smartphone, measuring inference latency (4.2–7.8 ms), Kalman filter execution (0.8–1.4 ms), cross-platform numerical parity, and operating system sensor dispatch (mean interval </w:t>
      </w:r>
      <m:oMath>
        <m:r>
          <m:t>Δt=115.8</m:t>
        </m:r>
        <m:r>
          <m:rPr>
            <m:nor/>
          </m:rPr>
          <m:t> ms</m:t>
        </m:r>
      </m:oMath>
      <w:r>
        <w:rPr>
          <w:rFonts w:ascii="Times New Roman" w:hAnsi="Times New Roman"/>
          <w:color w:val="000000"/>
          <w:sz w:val="24"/>
        </w:rPr>
        <w:t xml:space="preserve">, effective callback rate </w:t>
      </w:r>
      <m:oMath>
        <m:r>
          <m:t>8.63</m:t>
        </m:r>
        <m:r>
          <m:rPr>
            <m:nor/>
          </m:rPr>
          <m:t> Hz</m:t>
        </m:r>
      </m:oMath>
      <w:r>
        <w:rPr>
          <w:rFonts w:ascii="Times New Roman" w:hAnsi="Times New Roman"/>
          <w:color w:val="000000"/>
          <w:sz w:val="24"/>
        </w:rPr>
        <w:t xml:space="preserve"> versus 10.0 Hz nominal).</w:t>
      </w:r>
    </w:p>
    <w:p>
      <w:pPr>
        <w:spacing w:before="0" w:after="0" w:line="240" w:lineRule="auto"/>
        <w:ind w:firstLine="0"/>
        <w:jc w:val="both"/>
      </w:pPr>
      <w:r>
        <w:rPr>
          <w:rFonts w:ascii="Times New Roman" w:hAnsi="Times New Roman"/>
          <w:color w:val="000000"/>
          <w:sz w:val="24"/>
        </w:rPr>
        <w:t>6. Benchmark reality check: We evaluate the combined navigation engine against the Smart India Hackathon (SIH) Problem Statement 26168 criterion (&lt;10% distance-normalized drift over 60 seconds), demonstrating that while the macro-average normalized drift across dynamic routes is reduced to 16.76% (96.65 m mean absolute drift across all 13 eligible trajectories), the sub-10% criterion is satisfied on 3 of 13 eligible test routes (23.08%).</w:t>
      </w:r>
    </w:p>
    <w:p>
      <w:pPr>
        <w:keepNext/>
        <w:spacing w:before="0" w:after="0" w:line="240" w:lineRule="auto"/>
        <w:jc w:val="left"/>
      </w:pPr>
      <w:r>
        <w:rPr>
          <w:rFonts w:ascii="Times New Roman" w:hAnsi="Times New Roman"/>
          <w:b w:val="0"/>
          <w:sz w:val="24"/>
        </w:rPr>
        <w:t>2. Dataset and Methods</w:t>
      </w:r>
    </w:p>
    <w:p>
      <w:pPr>
        <w:keepNext/>
        <w:spacing w:before="0" w:after="0" w:line="240" w:lineRule="auto"/>
        <w:jc w:val="left"/>
      </w:pPr>
      <w:r>
        <w:rPr>
          <w:rFonts w:ascii="Times New Roman" w:hAnsi="Times New Roman"/>
          <w:i/>
          <w:sz w:val="24"/>
        </w:rPr>
        <w:t>2.1. Dataset and reference signals</w:t>
      </w:r>
    </w:p>
    <w:p>
      <w:pPr>
        <w:spacing w:before="0" w:after="0" w:line="240" w:lineRule="auto"/>
        <w:ind w:firstLine="0"/>
        <w:jc w:val="both"/>
      </w:pPr>
      <w:r>
        <w:rPr>
          <w:rFonts w:ascii="Times New Roman" w:hAnsi="Times New Roman"/>
          <w:color w:val="000000"/>
          <w:sz w:val="24"/>
        </w:rPr>
        <w:t>All vehicular evaluations are conducted on the public Inertial and Odometry Benchmark Dataset for Ground Vehicle Positioning (IO-VNBD) published by Onyekpe et al. (2021). The dataset was collected across real-world road networks in the United Kingdom using a test passenger vehicle (Ford Fiesta) instrumented with consumer smartphones and professional reference instrumentation.</w:t>
      </w:r>
    </w:p>
    <w:p>
      <w:pPr>
        <w:spacing w:before="0" w:after="0" w:line="240" w:lineRule="auto"/>
        <w:ind w:firstLine="0"/>
        <w:jc w:val="both"/>
      </w:pPr>
      <w:r>
        <w:rPr>
          <w:rFonts w:ascii="Times New Roman" w:hAnsi="Times New Roman"/>
          <w:color w:val="000000"/>
          <w:sz w:val="24"/>
        </w:rPr>
        <w:t>The complete IO-VNBD repository contains 1,182,661 raw sensor epochs across multiple transportation modes (motorcycle, bicycle, pedestrian, and passenger car). We isolate the complete passenger-car corpus (Driver E, Ford Fiesta), comprising 64 driving trips and 585,643 synchronized 10.0 Hz epochs (16.27 hours of synchronized driving, 902.4 km). For causal sequence learning, the synchronized time epochs are segmented into causal sliding windows of 100 samples (10.0 s). Excluding the initial 99 samples per trip (forming the 100-sample initialization buffer), the corpus yields exactly 579,307 usable sequence samples across the 64 trips (</w:t>
      </w:r>
      <m:oMath>
        <m:r>
          <m:t>585,643−64×99=579,307</m:t>
        </m:r>
      </m:oMath>
      <w:r>
        <w:rPr>
          <w:rFonts w:ascii="Times New Roman" w:hAnsi="Times New Roman"/>
          <w:color w:val="000000"/>
          <w:sz w:val="24"/>
        </w:rPr>
        <w:t>), partitioned across training, validation, and held-out evaluation splits. The trips encompass four road environments: suburban town routes (Vta, 30 trips), suburban mixed routes (Vtb, 12 trips), winding mountain routes (Vw, 20 trips), and high-speed motorways (V-Vfa, 2 trips). Table 1 provides the dataset census.</w:t>
      </w:r>
    </w:p>
    <w:p>
      <w:pPr>
        <w:keepNext/>
        <w:spacing w:before="0" w:after="0" w:line="240" w:lineRule="auto"/>
        <w:jc w:val="left"/>
      </w:pPr>
      <w:r>
        <w:rPr>
          <w:rFonts w:ascii="Times New Roman" w:hAnsi="Times New Roman"/>
          <w:b w:val="0"/>
          <w:sz w:val="22"/>
        </w:rPr>
        <w:t>Table 1. IO-VNBD passenger-car dataset census across route categories.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337"/>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Environment / Category</w:t>
            </w:r>
          </w:p>
        </w:tc>
        <w:tc>
          <w:tcPr>
            <w:tcW w:type="dxa" w:w="1337"/>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Trips (N)</w:t>
            </w:r>
          </w:p>
        </w:tc>
        <w:tc>
          <w:tcPr>
            <w:tcW w:type="dxa" w:w="1337"/>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Duration (h)</w:t>
            </w:r>
          </w:p>
        </w:tc>
        <w:tc>
          <w:tcPr>
            <w:tcW w:type="dxa" w:w="1337"/>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Synchronized Epochs</w:t>
            </w:r>
          </w:p>
        </w:tc>
        <w:tc>
          <w:tcPr>
            <w:tcW w:type="dxa" w:w="1337"/>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Distance (km)</w:t>
            </w:r>
          </w:p>
        </w:tc>
        <w:tc>
          <w:tcPr>
            <w:tcW w:type="dxa" w:w="1337"/>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Mean Speed (km/h)</w:t>
            </w:r>
          </w:p>
        </w:tc>
        <w:tc>
          <w:tcPr>
            <w:tcW w:type="dxa" w:w="1337"/>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Notes &amp; Operational Profile</w:t>
            </w:r>
          </w:p>
        </w:tc>
      </w:tr>
      <w:tr>
        <w:trPr>
          <w:cantSplit/>
        </w:trPr>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left"/>
            </w:pPr>
            <w:r/>
            <w:r>
              <w:rPr>
                <w:rFonts w:ascii="Times New Roman" w:hAnsi="Times New Roman"/>
                <w:color w:val="000000"/>
                <w:sz w:val="17"/>
              </w:rPr>
              <w:t>Suburban Town (Vta)</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30</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3.57</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128,618</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147.9</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41.4</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Frequent intersections, traffic signals, stop-and-go</w:t>
            </w:r>
          </w:p>
        </w:tc>
      </w:tr>
      <w:tr>
        <w:trPr>
          <w:cantSplit/>
        </w:trPr>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left"/>
            </w:pPr>
            <w:r/>
            <w:r>
              <w:rPr>
                <w:rFonts w:ascii="Times New Roman" w:hAnsi="Times New Roman"/>
                <w:color w:val="000000"/>
                <w:sz w:val="17"/>
              </w:rPr>
              <w:t>Dense Urban (Vtb)</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12</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3.18</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114,437</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163.6</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51.5</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Multi-lane arterials, urban street canyons, variable speeds</w:t>
            </w:r>
          </w:p>
        </w:tc>
      </w:tr>
      <w:tr>
        <w:trPr>
          <w:cantSplit/>
        </w:trPr>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left"/>
            </w:pPr>
            <w:r/>
            <w:r>
              <w:rPr>
                <w:rFonts w:ascii="Times New Roman" w:hAnsi="Times New Roman"/>
                <w:color w:val="000000"/>
                <w:sz w:val="17"/>
              </w:rPr>
              <w:t>Winding Mountain / Rural (Vw)</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20</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7.32</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263,579</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409.0</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55.9</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Continuous curvature, elevation changes, unbanked turns</w:t>
            </w:r>
          </w:p>
        </w:tc>
      </w:tr>
      <w:tr>
        <w:trPr>
          <w:cantSplit/>
        </w:trPr>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left"/>
            </w:pPr>
            <w:r/>
            <w:r>
              <w:rPr>
                <w:rFonts w:ascii="Times New Roman" w:hAnsi="Times New Roman"/>
                <w:color w:val="000000"/>
                <w:sz w:val="17"/>
              </w:rPr>
              <w:t>High-Speed Motorway (V-Vfa)</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2</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2.19</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79,009</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181.9</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82.7</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Sustained high-speed cruising (80–118 km/h), minimal turns</w:t>
            </w:r>
          </w:p>
        </w:tc>
      </w:tr>
      <w:tr>
        <w:trPr>
          <w:cantSplit/>
        </w:trPr>
        <w:tc>
          <w:tcPr>
            <w:tcW w:type="dxa" w:w="1337"/>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left"/>
            </w:pPr>
            <w:r/>
            <w:r>
              <w:rPr>
                <w:rFonts w:ascii="Times New Roman" w:hAnsi="Times New Roman"/>
                <w:color w:val="000000"/>
                <w:sz w:val="17"/>
              </w:rPr>
              <w:t>Complete Passenger-Car Corpus</w:t>
            </w:r>
          </w:p>
        </w:tc>
        <w:tc>
          <w:tcPr>
            <w:tcW w:type="dxa" w:w="1337"/>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center"/>
            </w:pPr>
            <w:r/>
            <w:r>
              <w:rPr>
                <w:rFonts w:ascii="Times New Roman" w:hAnsi="Times New Roman"/>
                <w:color w:val="000000"/>
                <w:sz w:val="17"/>
              </w:rPr>
              <w:t>64</w:t>
            </w:r>
          </w:p>
        </w:tc>
        <w:tc>
          <w:tcPr>
            <w:tcW w:type="dxa" w:w="1337"/>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center"/>
            </w:pPr>
            <w:r/>
            <w:r>
              <w:rPr>
                <w:rFonts w:ascii="Times New Roman" w:hAnsi="Times New Roman"/>
                <w:color w:val="000000"/>
                <w:sz w:val="17"/>
              </w:rPr>
              <w:t>16.27</w:t>
            </w:r>
          </w:p>
        </w:tc>
        <w:tc>
          <w:tcPr>
            <w:tcW w:type="dxa" w:w="1337"/>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center"/>
            </w:pPr>
            <w:r/>
            <w:r>
              <w:rPr>
                <w:rFonts w:ascii="Times New Roman" w:hAnsi="Times New Roman"/>
                <w:color w:val="000000"/>
                <w:sz w:val="17"/>
              </w:rPr>
              <w:t>585,643</w:t>
            </w:r>
          </w:p>
        </w:tc>
        <w:tc>
          <w:tcPr>
            <w:tcW w:type="dxa" w:w="1337"/>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center"/>
            </w:pPr>
            <w:r/>
            <w:r>
              <w:rPr>
                <w:rFonts w:ascii="Times New Roman" w:hAnsi="Times New Roman"/>
                <w:color w:val="000000"/>
                <w:sz w:val="17"/>
              </w:rPr>
              <w:t>902.4</w:t>
            </w:r>
          </w:p>
        </w:tc>
        <w:tc>
          <w:tcPr>
            <w:tcW w:type="dxa" w:w="1337"/>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center"/>
            </w:pPr>
            <w:r/>
            <w:r>
              <w:rPr>
                <w:rFonts w:ascii="Times New Roman" w:hAnsi="Times New Roman"/>
                <w:color w:val="000000"/>
                <w:sz w:val="17"/>
              </w:rPr>
              <w:t>55.5</w:t>
            </w:r>
          </w:p>
        </w:tc>
        <w:tc>
          <w:tcPr>
            <w:tcW w:type="dxa" w:w="1337"/>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center"/>
            </w:pPr>
            <w:r/>
            <w:r>
              <w:rPr>
                <w:rFonts w:ascii="Times New Roman" w:hAnsi="Times New Roman"/>
                <w:color w:val="000000"/>
                <w:sz w:val="17"/>
              </w:rPr>
              <w:t>Synchronized 10 Hz telemetry; Driver E; Ford Fiesta test vehicle</w:t>
            </w:r>
          </w:p>
        </w:tc>
      </w:tr>
    </w:tbl>
    <w:p>
      <w:pPr>
        <w:spacing w:before="0" w:after="0" w:line="240" w:lineRule="auto"/>
        <w:ind w:firstLine="0"/>
        <w:jc w:val="both"/>
      </w:pPr>
      <w:r>
        <w:rPr>
          <w:rFonts w:ascii="Times New Roman" w:hAnsi="Times New Roman"/>
          <w:color w:val="000000"/>
          <w:sz w:val="24"/>
        </w:rPr>
        <w:t>Reference instrumentation consists of a Racelogic VBOX Video HD2 system equipped with a 10 Hz rooftop GNSS antenna and a 10 Hz vehicle CAN bus diagnostic stream extracting wheel speed from the electronic control unit (ECU). CAN forward velocity serves as the engineering reference signal for model training and error evaluation. Because IO-VNBD does not provide dual-frequency carrier-phase Real-Time Kinematic (RTK) GNSS positioning, CAN bus velocity represents an engineering reference subject to normal tyre radius variation and slip, rather than absolute millimetre-level ground truth.</w:t>
      </w:r>
    </w:p>
    <w:p>
      <w:pPr>
        <w:keepNext/>
        <w:spacing w:before="0" w:after="0" w:line="240" w:lineRule="auto"/>
        <w:jc w:val="left"/>
      </w:pPr>
      <w:r>
        <w:rPr>
          <w:rFonts w:ascii="Times New Roman" w:hAnsi="Times New Roman"/>
          <w:i/>
          <w:sz w:val="24"/>
        </w:rPr>
        <w:t>2.2. Trip-disjoint experimental split</w:t>
      </w:r>
    </w:p>
    <w:p>
      <w:pPr>
        <w:spacing w:before="0" w:after="0" w:line="240" w:lineRule="auto"/>
        <w:ind w:firstLine="0"/>
        <w:jc w:val="both"/>
      </w:pPr>
      <w:r>
        <w:rPr>
          <w:rFonts w:ascii="Times New Roman" w:hAnsi="Times New Roman"/>
          <w:color w:val="000000"/>
          <w:sz w:val="24"/>
        </w:rPr>
        <w:t>To prevent data contamination, all model training, validation, and held-out evaluation procedures enforce strict whole-trip disjointness. Under this protocol, each individual driving trip is allocated in its entirety to exactly one partition; no sliding window, feature frame, or temporal sequence from an evaluation trip ever enters the training or validation sets.</w:t>
      </w:r>
    </w:p>
    <w:p>
      <w:pPr>
        <w:keepNext/>
        <w:spacing w:before="0" w:after="0" w:line="240" w:lineRule="auto"/>
        <w:jc w:val="left"/>
      </w:pPr>
      <w:r>
        <w:rPr>
          <w:rFonts w:ascii="Times New Roman" w:hAnsi="Times New Roman"/>
          <w:b w:val="0"/>
          <w:sz w:val="22"/>
        </w:rPr>
        <w:t>Table 2. Whole-trip-disjoint dataset partitioning.</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337"/>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Data Split</w:t>
            </w:r>
          </w:p>
        </w:tc>
        <w:tc>
          <w:tcPr>
            <w:tcW w:type="dxa" w:w="1337"/>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Trip Count (N)</w:t>
            </w:r>
          </w:p>
        </w:tc>
        <w:tc>
          <w:tcPr>
            <w:tcW w:type="dxa" w:w="1337"/>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Synchronized Epochs</w:t>
            </w:r>
          </w:p>
        </w:tc>
        <w:tc>
          <w:tcPr>
            <w:tcW w:type="dxa" w:w="1337"/>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Duration (h)</w:t>
            </w:r>
          </w:p>
        </w:tc>
        <w:tc>
          <w:tcPr>
            <w:tcW w:type="dxa" w:w="1337"/>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Distance (km)</w:t>
            </w:r>
          </w:p>
        </w:tc>
        <w:tc>
          <w:tcPr>
            <w:tcW w:type="dxa" w:w="1337"/>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Driver Identity</w:t>
            </w:r>
          </w:p>
        </w:tc>
        <w:tc>
          <w:tcPr>
            <w:tcW w:type="dxa" w:w="1337"/>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Partitioning Protocol</w:t>
            </w:r>
          </w:p>
        </w:tc>
      </w:tr>
      <w:tr>
        <w:trPr>
          <w:cantSplit/>
        </w:trPr>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left"/>
            </w:pPr>
            <w:r/>
            <w:r>
              <w:rPr>
                <w:rFonts w:ascii="Times New Roman" w:hAnsi="Times New Roman"/>
                <w:color w:val="000000"/>
                <w:sz w:val="17"/>
              </w:rPr>
              <w:t>Training Split</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39</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448,993</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12.47</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634.5</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Driver E</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Whole-trip disjoint; zero temporal or route overlap</w:t>
            </w:r>
          </w:p>
        </w:tc>
      </w:tr>
      <w:tr>
        <w:trPr>
          <w:cantSplit/>
        </w:trPr>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left"/>
            </w:pPr>
            <w:r/>
            <w:r>
              <w:rPr>
                <w:rFonts w:ascii="Times New Roman" w:hAnsi="Times New Roman"/>
                <w:color w:val="000000"/>
                <w:sz w:val="17"/>
              </w:rPr>
              <w:t>Validation Split</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6</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21,230</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0.59</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27.2</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Driver E</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Model selection, checkpoint early stopping, loss tuning</w:t>
            </w:r>
          </w:p>
        </w:tc>
      </w:tr>
      <w:tr>
        <w:trPr>
          <w:cantSplit/>
        </w:trPr>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left"/>
            </w:pPr>
            <w:r/>
            <w:r>
              <w:rPr>
                <w:rFonts w:ascii="Times New Roman" w:hAnsi="Times New Roman"/>
                <w:color w:val="000000"/>
                <w:sz w:val="17"/>
              </w:rPr>
              <w:t>Held-Out Test Split</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19</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115,420</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3.21</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240.6</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Driver E</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Strictly unseen test routes; multi-horizon evaluation</w:t>
            </w:r>
          </w:p>
        </w:tc>
      </w:tr>
      <w:tr>
        <w:trPr>
          <w:cantSplit/>
        </w:trPr>
        <w:tc>
          <w:tcPr>
            <w:tcW w:type="dxa" w:w="1337"/>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left"/>
            </w:pPr>
            <w:r/>
            <w:r>
              <w:rPr>
                <w:rFonts w:ascii="Times New Roman" w:hAnsi="Times New Roman"/>
                <w:color w:val="000000"/>
                <w:sz w:val="17"/>
              </w:rPr>
              <w:t>Total Synchronized Corpus</w:t>
            </w:r>
          </w:p>
        </w:tc>
        <w:tc>
          <w:tcPr>
            <w:tcW w:type="dxa" w:w="1337"/>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center"/>
            </w:pPr>
            <w:r/>
            <w:r>
              <w:rPr>
                <w:rFonts w:ascii="Times New Roman" w:hAnsi="Times New Roman"/>
                <w:color w:val="000000"/>
                <w:sz w:val="17"/>
              </w:rPr>
              <w:t>64</w:t>
            </w:r>
          </w:p>
        </w:tc>
        <w:tc>
          <w:tcPr>
            <w:tcW w:type="dxa" w:w="1337"/>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center"/>
            </w:pPr>
            <w:r/>
            <w:r>
              <w:rPr>
                <w:rFonts w:ascii="Times New Roman" w:hAnsi="Times New Roman"/>
                <w:color w:val="000000"/>
                <w:sz w:val="17"/>
              </w:rPr>
              <w:t>585,643</w:t>
            </w:r>
          </w:p>
        </w:tc>
        <w:tc>
          <w:tcPr>
            <w:tcW w:type="dxa" w:w="1337"/>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center"/>
            </w:pPr>
            <w:r/>
            <w:r>
              <w:rPr>
                <w:rFonts w:ascii="Times New Roman" w:hAnsi="Times New Roman"/>
                <w:color w:val="000000"/>
                <w:sz w:val="17"/>
              </w:rPr>
              <w:t>16.27</w:t>
            </w:r>
          </w:p>
        </w:tc>
        <w:tc>
          <w:tcPr>
            <w:tcW w:type="dxa" w:w="1337"/>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center"/>
            </w:pPr>
            <w:r/>
            <w:r>
              <w:rPr>
                <w:rFonts w:ascii="Times New Roman" w:hAnsi="Times New Roman"/>
                <w:color w:val="000000"/>
                <w:sz w:val="17"/>
              </w:rPr>
              <w:t>902.4</w:t>
            </w:r>
          </w:p>
        </w:tc>
        <w:tc>
          <w:tcPr>
            <w:tcW w:type="dxa" w:w="1337"/>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center"/>
            </w:pPr>
            <w:r/>
            <w:r>
              <w:rPr>
                <w:rFonts w:ascii="Times New Roman" w:hAnsi="Times New Roman"/>
                <w:color w:val="000000"/>
                <w:sz w:val="17"/>
              </w:rPr>
              <w:t>Driver E</w:t>
            </w:r>
          </w:p>
        </w:tc>
        <w:tc>
          <w:tcPr>
            <w:tcW w:type="dxa" w:w="1337"/>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center"/>
            </w:pPr>
            <w:r/>
            <w:r>
              <w:rPr>
                <w:rFonts w:ascii="Times New Roman" w:hAnsi="Times New Roman"/>
                <w:color w:val="000000"/>
                <w:sz w:val="17"/>
              </w:rPr>
              <w:t>Usable sliding sequence samples: 579,307 (100-sample buffer)</w:t>
            </w:r>
          </w:p>
        </w:tc>
      </w:tr>
    </w:tbl>
    <w:p>
      <w:pPr>
        <w:spacing w:before="0" w:after="0" w:line="240" w:lineRule="auto"/>
        <w:ind w:firstLine="0"/>
        <w:jc w:val="both"/>
      </w:pPr>
      <w:r>
        <w:rPr>
          <w:rFonts w:ascii="Times New Roman" w:hAnsi="Times New Roman"/>
          <w:color w:val="000000"/>
          <w:sz w:val="24"/>
        </w:rPr>
        <w:t>As detailed in Table 2, usable model sequence samples (579,307 samples across 585,643 synchronized epochs) reflect sliding temporal windows extracted across all 64 passenger-car trips. Metadata inspection reveals that all 64 passenger-car trips in IO-VNBD were driven by a single individual (Driver E). Consequently, all evaluations in this study reflect whole-trip generalisation for a single driver; cross-driver generalisation cannot be claimed from this dataset.</w:t>
      </w:r>
    </w:p>
    <w:p>
      <w:pPr>
        <w:keepNext/>
        <w:spacing w:before="0" w:after="0" w:line="240" w:lineRule="auto"/>
        <w:jc w:val="left"/>
      </w:pPr>
      <w:r>
        <w:rPr>
          <w:rFonts w:ascii="Times New Roman" w:hAnsi="Times New Roman"/>
          <w:i/>
          <w:sz w:val="24"/>
        </w:rPr>
        <w:t>2.3. Coordinate frames and inertial processing</w:t>
      </w:r>
    </w:p>
    <w:p>
      <w:pPr>
        <w:spacing w:before="0" w:after="0" w:line="240" w:lineRule="auto"/>
        <w:ind w:firstLine="0"/>
        <w:jc w:val="both"/>
      </w:pPr>
      <w:r>
        <w:rPr>
          <w:rFonts w:ascii="Times New Roman" w:hAnsi="Times New Roman"/>
          <w:color w:val="000000"/>
          <w:sz w:val="24"/>
        </w:rPr>
        <w:t>The navigation mechanization defines three primary orthogonal coordinate systems:</w:t>
      </w:r>
    </w:p>
    <w:p>
      <w:pPr>
        <w:spacing w:before="0" w:after="0" w:line="240" w:lineRule="auto"/>
        <w:ind w:firstLine="0"/>
        <w:jc w:val="both"/>
      </w:pPr>
      <w:r>
        <w:rPr>
          <w:rFonts w:ascii="Times New Roman" w:hAnsi="Times New Roman"/>
          <w:color w:val="000000"/>
          <w:sz w:val="24"/>
        </w:rPr>
        <w:t>1. Device Body Frame (</w:t>
      </w:r>
      <m:oMath>
        <m:r>
          <m:t>b</m:t>
        </m:r>
      </m:oMath>
      <w:r>
        <w:rPr>
          <w:rFonts w:ascii="Times New Roman" w:hAnsi="Times New Roman"/>
          <w:color w:val="000000"/>
          <w:sz w:val="24"/>
        </w:rPr>
        <w:t>): Defined by smartphone IMU axes (</w:t>
      </w:r>
      <m:oMath>
        <m:sSub>
          <m:e>
            <m:r>
              <m:t>x</m:t>
            </m:r>
          </m:e>
          <m:sub>
            <m:r>
              <m:t>b</m:t>
            </m:r>
          </m:sub>
        </m:sSub>
      </m:oMath>
      <w:r>
        <w:rPr>
          <w:rFonts w:ascii="Times New Roman" w:hAnsi="Times New Roman"/>
          <w:color w:val="000000"/>
          <w:sz w:val="24"/>
        </w:rPr>
        <w:t xml:space="preserve"> right, </w:t>
      </w:r>
      <m:oMath>
        <m:sSub>
          <m:e>
            <m:r>
              <m:t>y</m:t>
            </m:r>
          </m:e>
          <m:sub>
            <m:r>
              <m:t>b</m:t>
            </m:r>
          </m:sub>
        </m:sSub>
      </m:oMath>
      <w:r>
        <w:rPr>
          <w:rFonts w:ascii="Times New Roman" w:hAnsi="Times New Roman"/>
          <w:color w:val="000000"/>
          <w:sz w:val="24"/>
        </w:rPr>
        <w:t xml:space="preserve"> forward, </w:t>
      </w:r>
      <m:oMath>
        <m:sSub>
          <m:e>
            <m:r>
              <m:t>z</m:t>
            </m:r>
          </m:e>
          <m:sub>
            <m:r>
              <m:t>b</m:t>
            </m:r>
          </m:sub>
        </m:sSub>
      </m:oMath>
      <w:r>
        <w:rPr>
          <w:rFonts w:ascii="Times New Roman" w:hAnsi="Times New Roman"/>
          <w:color w:val="000000"/>
          <w:sz w:val="24"/>
        </w:rPr>
        <w:t xml:space="preserve"> upward relative to the screen).</w:t>
      </w:r>
    </w:p>
    <w:p>
      <w:pPr>
        <w:spacing w:before="0" w:after="0" w:line="240" w:lineRule="auto"/>
        <w:ind w:firstLine="0"/>
        <w:jc w:val="both"/>
      </w:pPr>
      <w:r>
        <w:rPr>
          <w:rFonts w:ascii="Times New Roman" w:hAnsi="Times New Roman"/>
          <w:color w:val="000000"/>
          <w:sz w:val="24"/>
        </w:rPr>
        <w:t>2. Leveled Navigation Frame (</w:t>
      </w:r>
      <m:oMath>
        <m:r>
          <m:t>l</m:t>
        </m:r>
      </m:oMath>
      <w:r>
        <w:rPr>
          <w:rFonts w:ascii="Times New Roman" w:hAnsi="Times New Roman"/>
          <w:color w:val="000000"/>
          <w:sz w:val="24"/>
        </w:rPr>
        <w:t xml:space="preserve">): An intermediate frame where vertical axis </w:t>
      </w:r>
      <m:oMath>
        <m:sSub>
          <m:e>
            <m:r>
              <m:t>z</m:t>
            </m:r>
          </m:e>
          <m:sub>
            <m:r>
              <m:t>l</m:t>
            </m:r>
          </m:sub>
        </m:sSub>
      </m:oMath>
      <w:r>
        <w:rPr>
          <w:rFonts w:ascii="Times New Roman" w:hAnsi="Times New Roman"/>
          <w:color w:val="000000"/>
          <w:sz w:val="24"/>
        </w:rPr>
        <w:t xml:space="preserve"> is aligned opposite to local gravity </w:t>
      </w:r>
      <m:oMath>
        <m:r>
          <m:t>𝐠</m:t>
        </m:r>
      </m:oMath>
      <w:r>
        <w:rPr>
          <w:rFonts w:ascii="Times New Roman" w:hAnsi="Times New Roman"/>
          <w:color w:val="000000"/>
          <w:sz w:val="24"/>
        </w:rPr>
        <w:t xml:space="preserve">, and the </w:t>
      </w:r>
      <m:oMath>
        <m:sSub>
          <m:e>
            <m:r>
              <m:t>x</m:t>
            </m:r>
          </m:e>
          <m:sub>
            <m:r>
              <m:t>l</m:t>
            </m:r>
          </m:sub>
        </m:sSub>
        <m:r>
          <m:rPr>
            <m:nor/>
          </m:rPr>
          <m:t>--</m:t>
        </m:r>
        <m:sSub>
          <m:e>
            <m:r>
              <m:t>y</m:t>
            </m:r>
          </m:e>
          <m:sub>
            <m:r>
              <m:t>l</m:t>
            </m:r>
          </m:sub>
        </m:sSub>
      </m:oMath>
      <w:r>
        <w:rPr>
          <w:rFonts w:ascii="Times New Roman" w:hAnsi="Times New Roman"/>
          <w:color w:val="000000"/>
          <w:sz w:val="24"/>
        </w:rPr>
        <w:t xml:space="preserve"> plane forms the horizontal plane.</w:t>
      </w:r>
    </w:p>
    <w:p>
      <w:pPr>
        <w:spacing w:before="0" w:after="0" w:line="240" w:lineRule="auto"/>
        <w:ind w:firstLine="0"/>
        <w:jc w:val="both"/>
      </w:pPr>
      <w:r>
        <w:rPr>
          <w:rFonts w:ascii="Times New Roman" w:hAnsi="Times New Roman"/>
          <w:color w:val="000000"/>
          <w:sz w:val="24"/>
        </w:rPr>
        <w:t>3. Local East-North-Up Frame (</w:t>
      </w:r>
      <m:oMath>
        <m:r>
          <m:t>n</m:t>
        </m:r>
      </m:oMath>
      <w:r>
        <w:rPr>
          <w:rFonts w:ascii="Times New Roman" w:hAnsi="Times New Roman"/>
          <w:color w:val="000000"/>
          <w:sz w:val="24"/>
        </w:rPr>
        <w:t>): The geographic tangent navigation frame with axes directed East, North, and Up.</w:t>
      </w:r>
    </w:p>
    <w:p>
      <w:pPr>
        <w:spacing w:before="0" w:after="0" w:line="240" w:lineRule="auto"/>
        <w:ind w:firstLine="0"/>
        <w:jc w:val="both"/>
      </w:pPr>
      <w:r>
        <w:rPr>
          <w:rFonts w:ascii="Times New Roman" w:hAnsi="Times New Roman"/>
          <w:color w:val="000000"/>
          <w:sz w:val="24"/>
        </w:rPr>
        <w:t xml:space="preserve">Smartphone attitude is parameterized by unit quaternion </w:t>
      </w:r>
      <m:oMath>
        <m:sSubSup>
          <m:e>
            <m:r>
              <m:t>𝐪</m:t>
            </m:r>
          </m:e>
          <m:sub>
            <m:r>
              <m:t>b</m:t>
            </m:r>
          </m:sub>
          <m:sup>
            <m:r>
              <m:t>n</m:t>
            </m:r>
          </m:sup>
        </m:sSubSup>
      </m:oMath>
      <w:r>
        <w:rPr>
          <w:rFonts w:ascii="Times New Roman" w:hAnsi="Times New Roman"/>
          <w:color w:val="000000"/>
          <w:sz w:val="24"/>
        </w:rPr>
        <w:t>, relating vectors in the body frame to the navigation frame:</w:t>
      </w:r>
    </w:p>
    <w:tbl>
      <w:tblPr>
        <w:tblW w:type="auto" w:w="0"/>
        <w:jc w:val="center"/>
        <w:tblLook w:firstColumn="1" w:firstRow="1" w:lastColumn="0" w:lastRow="0" w:noHBand="0" w:noVBand="1" w:val="04A0"/>
      </w:tblPr>
      <w:tblGrid>
        <w:gridCol w:w="4680"/>
        <w:gridCol w:w="4680"/>
      </w:tblGrid>
      <w:tr>
        <w:trPr>
          <w:cantSplit/>
        </w:trPr>
        <w:tc>
          <w:tcPr>
            <w:tcW w:type="dxa" w:w="8208"/>
            <w:tcMar>
              <w:top w:w="0" w:type="dxa"/>
              <w:bottom w:w="0" w:type="dxa"/>
              <w:left w:w="0" w:type="dxa"/>
              <w:right w:w="0" w:type="dxa"/>
            </w:tcMar>
            <w:tcBorders>
              <w:top w:val="none"/>
              <w:left w:val="none"/>
              <w:bottom w:val="none"/>
              <w:right w:val="none"/>
            </w:tcBorders>
          </w:tcPr>
          <w:p>
            <w:pPr>
              <w:spacing w:line="240" w:lineRule="auto" w:before="0" w:after="0"/>
              <w:jc w:val="center"/>
            </w:pPr>
            <m:oMath>
              <m:sSup>
                <m:e>
                  <m:r>
                    <m:t>𝐯</m:t>
                  </m:r>
                </m:e>
                <m:sup>
                  <m:r>
                    <m:t>n</m:t>
                  </m:r>
                </m:sup>
              </m:sSup>
              <m:r>
                <m:t>=</m:t>
              </m:r>
              <m:sSubSup>
                <m:e>
                  <m:r>
                    <m:t>𝐪</m:t>
                  </m:r>
                </m:e>
                <m:sub>
                  <m:r>
                    <m:t>b</m:t>
                  </m:r>
                </m:sub>
                <m:sup>
                  <m:r>
                    <m:t>n</m:t>
                  </m:r>
                </m:sup>
              </m:sSubSup>
              <m:r>
                <m:t>⊗</m:t>
              </m:r>
              <m:sSup>
                <m:e>
                  <m:r>
                    <m:t>𝐯</m:t>
                  </m:r>
                </m:e>
                <m:sup>
                  <m:r>
                    <m:t>b</m:t>
                  </m:r>
                </m:sup>
              </m:sSup>
              <m:r>
                <m:t>⊗(</m:t>
              </m:r>
              <m:sSubSup>
                <m:e>
                  <m:r>
                    <m:t>𝐪</m:t>
                  </m:r>
                </m:e>
                <m:sub>
                  <m:r>
                    <m:t>b</m:t>
                  </m:r>
                </m:sub>
                <m:sup>
                  <m:r>
                    <m:t>n</m:t>
                  </m:r>
                </m:sup>
              </m:sSubSup>
              <m:sSup>
                <m:e>
                  <m:r>
                    <m:t>)</m:t>
                  </m:r>
                </m:e>
                <m:sup>
                  <m:r>
                    <m:t>*</m:t>
                  </m:r>
                </m:sup>
              </m:sSup>
            </m:oMath>
          </w:p>
        </w:tc>
        <w:tc>
          <w:tcPr>
            <w:tcW w:type="dxa" w:w="1152"/>
            <w:tcMar>
              <w:top w:w="0" w:type="dxa"/>
              <w:bottom w:w="0" w:type="dxa"/>
              <w:left w:w="0" w:type="dxa"/>
              <w:right w:w="0" w:type="dxa"/>
            </w:tcMar>
            <w:tcBorders>
              <w:top w:val="none"/>
              <w:left w:val="none"/>
              <w:bottom w:val="none"/>
              <w:right w:val="none"/>
            </w:tcBorders>
          </w:tcPr>
          <w:p>
            <w:pPr>
              <w:spacing w:line="240" w:lineRule="auto" w:before="0" w:after="0"/>
              <w:jc w:val="right"/>
            </w:pPr>
            <w:r>
              <w:rPr>
                <w:rFonts w:ascii="Times New Roman" w:hAnsi="Times New Roman"/>
                <w:sz w:val="24"/>
              </w:rPr>
              <w:t>(2)</w:t>
            </w:r>
          </w:p>
        </w:tc>
      </w:tr>
    </w:tbl>
    <w:p>
      <w:pPr>
        <w:spacing w:before="0" w:after="0" w:line="240" w:lineRule="auto"/>
        <w:ind w:firstLine="0"/>
        <w:jc w:val="both"/>
      </w:pPr>
      <w:r>
        <w:rPr>
          <w:rFonts w:ascii="Times New Roman" w:hAnsi="Times New Roman"/>
          <w:color w:val="000000"/>
          <w:sz w:val="24"/>
        </w:rPr>
        <w:t>Gravity leveling is performed by estimating the static gravity vector during pre-outage stationary epochs:</w:t>
      </w:r>
    </w:p>
    <w:tbl>
      <w:tblPr>
        <w:tblW w:type="auto" w:w="0"/>
        <w:jc w:val="center"/>
        <w:tblLook w:firstColumn="1" w:firstRow="1" w:lastColumn="0" w:lastRow="0" w:noHBand="0" w:noVBand="1" w:val="04A0"/>
      </w:tblPr>
      <w:tblGrid>
        <w:gridCol w:w="4680"/>
        <w:gridCol w:w="4680"/>
      </w:tblGrid>
      <w:tr>
        <w:trPr>
          <w:cantSplit/>
        </w:trPr>
        <w:tc>
          <w:tcPr>
            <w:tcW w:type="dxa" w:w="8208"/>
            <w:tcMar>
              <w:top w:w="0" w:type="dxa"/>
              <w:bottom w:w="0" w:type="dxa"/>
              <w:left w:w="0" w:type="dxa"/>
              <w:right w:w="0" w:type="dxa"/>
            </w:tcMar>
            <w:tcBorders>
              <w:top w:val="none"/>
              <w:left w:val="none"/>
              <w:bottom w:val="none"/>
              <w:right w:val="none"/>
            </w:tcBorders>
          </w:tcPr>
          <w:p>
            <w:pPr>
              <w:spacing w:line="240" w:lineRule="auto" w:before="0" w:after="0"/>
              <w:jc w:val="center"/>
            </w:pPr>
            <m:oMath>
              <m:sSup>
                <m:e>
                  <m:r>
                    <m:t>𝐠</m:t>
                  </m:r>
                </m:e>
                <m:sup>
                  <m:r>
                    <m:t>b</m:t>
                  </m:r>
                </m:sup>
              </m:sSup>
              <m:r>
                <m:t>=</m:t>
              </m:r>
              <m:f>
                <m:fPr>
                  <m:type m:val="bar"/>
                </m:fPr>
                <m:num>
                  <m:r>
                    <m:t>1</m:t>
                  </m:r>
                </m:num>
                <m:den>
                  <m:r>
                    <m:t>N</m:t>
                  </m:r>
                </m:den>
              </m:f>
              <m:nary>
                <m:naryPr>
                  <m:chr m:val="∑"/>
                  <m:limLoc m:val="subSup"/>
                  <m:grow m:val="1"/>
                  <m:subHide m:val="off"/>
                  <m:supHide m:val="off"/>
                </m:naryPr>
                <m:sub>
                  <m:r>
                    <m:t>k=1</m:t>
                  </m:r>
                </m:sub>
                <m:sup>
                  <m:r>
                    <m:t>N</m:t>
                  </m:r>
                </m:sup>
                <m:e>
                  <m:sSubSup>
                    <m:e>
                      <m:r>
                        <m:t>𝐟</m:t>
                      </m:r>
                    </m:e>
                    <m:sub>
                      <m:r>
                        <m:t>k</m:t>
                      </m:r>
                    </m:sub>
                    <m:sup>
                      <m:r>
                        <m:t>b</m:t>
                      </m:r>
                    </m:sup>
                  </m:sSubSup>
                </m:e>
              </m:nary>
              <m:r>
                <m:t>,</m:t>
              </m:r>
              <m:sSub>
                <m:e>
                  <m:acc>
                    <m:accPr>
                      <m:chr m:val="̂"/>
                    </m:accPr>
                    <m:e>
                      <m:r>
                        <m:t>𝐳</m:t>
                      </m:r>
                    </m:e>
                  </m:acc>
                </m:e>
                <m:sub>
                  <m:r>
                    <m:t>l</m:t>
                  </m:r>
                </m:sub>
              </m:sSub>
              <m:r>
                <m:t>=−</m:t>
              </m:r>
              <m:f>
                <m:fPr>
                  <m:type m:val="bar"/>
                </m:fPr>
                <m:num>
                  <m:sSup>
                    <m:e>
                      <m:r>
                        <m:t>𝐠</m:t>
                      </m:r>
                    </m:e>
                    <m:sup>
                      <m:r>
                        <m:t>b</m:t>
                      </m:r>
                    </m:sup>
                  </m:sSup>
                </m:num>
                <m:den>
                  <m:d>
                    <m:dPr>
                      <m:begChr m:val="‖"/>
                      <m:sepChr m:val=""/>
                      <m:endChr m:val="‖"/>
                    </m:dPr>
                    <m:e>
                      <m:sSup>
                        <m:e>
                          <m:r>
                            <m:t>𝐠</m:t>
                          </m:r>
                        </m:e>
                        <m:sup>
                          <m:r>
                            <m:t>b</m:t>
                          </m:r>
                        </m:sup>
                      </m:sSup>
                    </m:e>
                  </m:d>
                </m:den>
              </m:f>
            </m:oMath>
          </w:p>
        </w:tc>
        <w:tc>
          <w:tcPr>
            <w:tcW w:type="dxa" w:w="1152"/>
            <w:tcMar>
              <w:top w:w="0" w:type="dxa"/>
              <w:bottom w:w="0" w:type="dxa"/>
              <w:left w:w="0" w:type="dxa"/>
              <w:right w:w="0" w:type="dxa"/>
            </w:tcMar>
            <w:tcBorders>
              <w:top w:val="none"/>
              <w:left w:val="none"/>
              <w:bottom w:val="none"/>
              <w:right w:val="none"/>
            </w:tcBorders>
          </w:tcPr>
          <w:p>
            <w:pPr>
              <w:spacing w:line="240" w:lineRule="auto" w:before="0" w:after="0"/>
              <w:jc w:val="right"/>
            </w:pPr>
            <w:r>
              <w:rPr>
                <w:rFonts w:ascii="Times New Roman" w:hAnsi="Times New Roman"/>
                <w:sz w:val="24"/>
              </w:rPr>
              <w:t>(3)</w:t>
            </w:r>
          </w:p>
        </w:tc>
      </w:tr>
    </w:tbl>
    <w:p>
      <w:pPr>
        <w:spacing w:before="0" w:after="0" w:line="240" w:lineRule="auto"/>
        <w:ind w:firstLine="0"/>
        <w:jc w:val="both"/>
      </w:pPr>
      <w:r>
        <w:rPr>
          <w:rFonts w:ascii="Times New Roman" w:hAnsi="Times New Roman"/>
          <w:color w:val="000000"/>
          <w:sz w:val="24"/>
        </w:rPr>
        <w:t>Horizontal vehicle forward axis alignment is resolved through dynamic horizontal acceleration Principal Component Analysis (PCA) during pre-outage driving. Specific forces and angular rates are filtered using a second-order causal low-pass Butterworth filter with a cut-off frequency of 4.5 Hz to suppress high-frequency structural vibration before 10.0 Hz decimation.</w:t>
      </w:r>
    </w:p>
    <w:p>
      <w:pPr>
        <w:keepNext/>
        <w:spacing w:before="0" w:after="0" w:line="240" w:lineRule="auto"/>
        <w:jc w:val="left"/>
      </w:pPr>
      <w:r>
        <w:rPr>
          <w:rFonts w:ascii="Times New Roman" w:hAnsi="Times New Roman"/>
          <w:i/>
          <w:sz w:val="24"/>
        </w:rPr>
        <w:t>2.4. Error-state Kalman filter</w:t>
      </w:r>
    </w:p>
    <w:p>
      <w:pPr>
        <w:spacing w:before="0" w:after="0" w:line="240" w:lineRule="auto"/>
        <w:ind w:firstLine="0"/>
        <w:jc w:val="both"/>
      </w:pPr>
      <w:r>
        <w:rPr>
          <w:rFonts w:ascii="Times New Roman" w:hAnsi="Times New Roman"/>
          <w:color w:val="000000"/>
          <w:sz w:val="24"/>
        </w:rPr>
        <w:t xml:space="preserve">The core state estimation engine is a 15-state continuous-discrete Error-State Kalman Filter (ESKF) formulated according to Solà (2017). The true kinematic state </w:t>
      </w:r>
      <m:oMath>
        <m:r>
          <m:t>𝐱∈</m:t>
        </m:r>
        <m:sSup>
          <m:e>
            <m:r>
              <m:t>ℝ</m:t>
            </m:r>
          </m:e>
          <m:sup>
            <m:r>
              <m:t>16</m:t>
            </m:r>
          </m:sup>
        </m:sSup>
      </m:oMath>
      <w:r>
        <w:rPr>
          <w:rFonts w:ascii="Times New Roman" w:hAnsi="Times New Roman"/>
          <w:color w:val="000000"/>
          <w:sz w:val="24"/>
        </w:rPr>
        <w:t xml:space="preserve"> comprises position </w:t>
      </w:r>
      <m:oMath>
        <m:sSup>
          <m:e>
            <m:r>
              <m:t>𝐩</m:t>
            </m:r>
          </m:e>
          <m:sup>
            <m:r>
              <m:t>n</m:t>
            </m:r>
          </m:sup>
        </m:sSup>
        <m:r>
          <m:t>∈</m:t>
        </m:r>
        <m:sSup>
          <m:e>
            <m:r>
              <m:t>ℝ</m:t>
            </m:r>
          </m:e>
          <m:sup>
            <m:r>
              <m:t>3</m:t>
            </m:r>
          </m:sup>
        </m:sSup>
      </m:oMath>
      <w:r>
        <w:rPr>
          <w:rFonts w:ascii="Times New Roman" w:hAnsi="Times New Roman"/>
          <w:color w:val="000000"/>
          <w:sz w:val="24"/>
        </w:rPr>
        <w:t xml:space="preserve">, velocity </w:t>
      </w:r>
      <m:oMath>
        <m:sSup>
          <m:e>
            <m:r>
              <m:t>𝐯</m:t>
            </m:r>
          </m:e>
          <m:sup>
            <m:r>
              <m:t>n</m:t>
            </m:r>
          </m:sup>
        </m:sSup>
        <m:r>
          <m:t>∈</m:t>
        </m:r>
        <m:sSup>
          <m:e>
            <m:r>
              <m:t>ℝ</m:t>
            </m:r>
          </m:e>
          <m:sup>
            <m:r>
              <m:t>3</m:t>
            </m:r>
          </m:sup>
        </m:sSup>
      </m:oMath>
      <w:r>
        <w:rPr>
          <w:rFonts w:ascii="Times New Roman" w:hAnsi="Times New Roman"/>
          <w:color w:val="000000"/>
          <w:sz w:val="24"/>
        </w:rPr>
        <w:t xml:space="preserve">, unit orientation quaternion </w:t>
      </w:r>
      <m:oMath>
        <m:sSubSup>
          <m:e>
            <m:r>
              <m:t>𝐪</m:t>
            </m:r>
          </m:e>
          <m:sub>
            <m:r>
              <m:t>b</m:t>
            </m:r>
          </m:sub>
          <m:sup>
            <m:r>
              <m:t>n</m:t>
            </m:r>
          </m:sup>
        </m:sSubSup>
        <m:r>
          <m:t>∈ℍ</m:t>
        </m:r>
      </m:oMath>
      <w:r>
        <w:rPr>
          <w:rFonts w:ascii="Times New Roman" w:hAnsi="Times New Roman"/>
          <w:color w:val="000000"/>
          <w:sz w:val="24"/>
        </w:rPr>
        <w:t xml:space="preserve">, accelerometer bias </w:t>
      </w:r>
      <m:oMath>
        <m:sSub>
          <m:e>
            <m:r>
              <m:t>𝐛</m:t>
            </m:r>
          </m:e>
          <m:sub>
            <m:r>
              <m:t>a</m:t>
            </m:r>
          </m:sub>
        </m:sSub>
        <m:r>
          <m:t>∈</m:t>
        </m:r>
        <m:sSup>
          <m:e>
            <m:r>
              <m:t>ℝ</m:t>
            </m:r>
          </m:e>
          <m:sup>
            <m:r>
              <m:t>3</m:t>
            </m:r>
          </m:sup>
        </m:sSup>
      </m:oMath>
      <w:r>
        <w:rPr>
          <w:rFonts w:ascii="Times New Roman" w:hAnsi="Times New Roman"/>
          <w:color w:val="000000"/>
          <w:sz w:val="24"/>
        </w:rPr>
        <w:t xml:space="preserve">, and gyroscope bias </w:t>
      </w:r>
      <m:oMath>
        <m:sSub>
          <m:e>
            <m:r>
              <m:t>𝐛</m:t>
            </m:r>
          </m:e>
          <m:sub>
            <m:r>
              <m:t>g</m:t>
            </m:r>
          </m:sub>
        </m:sSub>
        <m:r>
          <m:t>∈</m:t>
        </m:r>
        <m:sSup>
          <m:e>
            <m:r>
              <m:t>ℝ</m:t>
            </m:r>
          </m:e>
          <m:sup>
            <m:r>
              <m:t>3</m:t>
            </m:r>
          </m:sup>
        </m:sSup>
      </m:oMath>
      <w:r>
        <w:rPr>
          <w:rFonts w:ascii="Times New Roman" w:hAnsi="Times New Roman"/>
          <w:color w:val="000000"/>
          <w:sz w:val="24"/>
        </w:rPr>
        <w:t xml:space="preserve">. The filter tracks small error states </w:t>
      </w:r>
      <m:oMath>
        <m:r>
          <m:t>δ𝐱∈</m:t>
        </m:r>
        <m:sSup>
          <m:e>
            <m:r>
              <m:t>ℝ</m:t>
            </m:r>
          </m:e>
          <m:sup>
            <m:r>
              <m:t>15</m:t>
            </m:r>
          </m:sup>
        </m:sSup>
      </m:oMath>
      <w:r>
        <w:rPr>
          <w:rFonts w:ascii="Times New Roman" w:hAnsi="Times New Roman"/>
          <w:color w:val="000000"/>
          <w:sz w:val="24"/>
        </w:rPr>
        <w:t>:</w:t>
      </w:r>
    </w:p>
    <w:tbl>
      <w:tblPr>
        <w:tblW w:type="auto" w:w="0"/>
        <w:jc w:val="center"/>
        <w:tblLook w:firstColumn="1" w:firstRow="1" w:lastColumn="0" w:lastRow="0" w:noHBand="0" w:noVBand="1" w:val="04A0"/>
      </w:tblPr>
      <w:tblGrid>
        <w:gridCol w:w="4680"/>
        <w:gridCol w:w="4680"/>
      </w:tblGrid>
      <w:tr>
        <w:trPr>
          <w:cantSplit/>
        </w:trPr>
        <w:tc>
          <w:tcPr>
            <w:tcW w:type="dxa" w:w="8208"/>
            <w:tcMar>
              <w:top w:w="0" w:type="dxa"/>
              <w:bottom w:w="0" w:type="dxa"/>
              <w:left w:w="0" w:type="dxa"/>
              <w:right w:w="0" w:type="dxa"/>
            </w:tcMar>
            <w:tcBorders>
              <w:top w:val="none"/>
              <w:left w:val="none"/>
              <w:bottom w:val="none"/>
              <w:right w:val="none"/>
            </w:tcBorders>
          </w:tcPr>
          <w:p>
            <w:pPr>
              <w:spacing w:line="240" w:lineRule="auto" w:before="0" w:after="0"/>
              <w:jc w:val="center"/>
            </w:pPr>
            <m:oMath>
              <m:r>
                <m:t>δ𝐱=</m:t>
              </m:r>
              <m:sSup>
                <m:e>
                  <m:r>
                    <m:t>[</m:t>
                  </m:r>
                </m:e>
                <m:sup>
                  <m:m>
                    <m:mPr>
                      <m:baseJc m:val="center"/>
                      <m:plcHide m:val="on"/>
                      <m:mcs>
                        <m:mc>
                          <m:mcPr>
                            <m:count m:val="5"/>
                            <m:mcJc m:val="center"/>
                          </m:mcPr>
                        </m:mc>
                      </m:mcs>
                    </m:mPr>
                    <m:mr>
                      <m:e>
                        <m:r>
                          <m:t>δ</m:t>
                        </m:r>
                        <m:sSup>
                          <m:e>
                            <m:r>
                              <m:t>𝐩</m:t>
                            </m:r>
                          </m:e>
                          <m:sup>
                            <m:r>
                              <m:t>n</m:t>
                            </m:r>
                          </m:sup>
                        </m:sSup>
                      </m:e>
                      <m:e>
                        <m:r>
                          <m:t>δ</m:t>
                        </m:r>
                        <m:sSup>
                          <m:e>
                            <m:r>
                              <m:t>𝐯</m:t>
                            </m:r>
                          </m:e>
                          <m:sup>
                            <m:r>
                              <m:t>n</m:t>
                            </m:r>
                          </m:sup>
                        </m:sSup>
                      </m:e>
                      <m:e>
                        <m:r>
                          <m:t>δ</m:t>
                        </m:r>
                        <m:r>
                          <m:rPr>
                            <m:sty m:val="bi"/>
                          </m:rPr>
                          <m:t>θ</m:t>
                        </m:r>
                      </m:e>
                      <m:e>
                        <m:r>
                          <m:t>δ</m:t>
                        </m:r>
                        <m:sSub>
                          <m:e>
                            <m:r>
                              <m:t>𝐛</m:t>
                            </m:r>
                          </m:e>
                          <m:sub>
                            <m:r>
                              <m:t>a</m:t>
                            </m:r>
                          </m:sub>
                        </m:sSub>
                      </m:e>
                      <m:e>
                        <m:r>
                          <m:t>δ</m:t>
                        </m:r>
                        <m:sSub>
                          <m:e>
                            <m:r>
                              <m:t>𝐛</m:t>
                            </m:r>
                          </m:e>
                          <m:sub>
                            <m:r>
                              <m:t>g</m:t>
                            </m:r>
                          </m:sub>
                        </m:sSub>
                      </m:e>
                    </m:mr>
                  </m:m>
                </m:sup>
              </m:sSup>
            </m:oMath>
          </w:p>
        </w:tc>
        <w:tc>
          <w:tcPr>
            <w:tcW w:type="dxa" w:w="1152"/>
            <w:tcMar>
              <w:top w:w="0" w:type="dxa"/>
              <w:bottom w:w="0" w:type="dxa"/>
              <w:left w:w="0" w:type="dxa"/>
              <w:right w:w="0" w:type="dxa"/>
            </w:tcMar>
            <w:tcBorders>
              <w:top w:val="none"/>
              <w:left w:val="none"/>
              <w:bottom w:val="none"/>
              <w:right w:val="none"/>
            </w:tcBorders>
          </w:tcPr>
          <w:p>
            <w:pPr>
              <w:spacing w:line="240" w:lineRule="auto" w:before="0" w:after="0"/>
              <w:jc w:val="right"/>
            </w:pPr>
            <w:r>
              <w:rPr>
                <w:rFonts w:ascii="Times New Roman" w:hAnsi="Times New Roman"/>
                <w:sz w:val="24"/>
              </w:rPr>
              <w:t>(4)</w:t>
            </w:r>
          </w:p>
        </w:tc>
      </w:tr>
    </w:tbl>
    <w:p>
      <w:pPr>
        <w:spacing w:before="0" w:after="0" w:line="240" w:lineRule="auto"/>
        <w:ind w:firstLine="0"/>
        <w:jc w:val="both"/>
      </w:pPr>
      <w:r>
        <w:rPr>
          <w:rFonts w:ascii="Times New Roman" w:hAnsi="Times New Roman"/>
          <w:color w:val="000000"/>
          <w:sz w:val="24"/>
        </w:rPr>
        <w:t xml:space="preserve">where </w:t>
      </w:r>
      <m:oMath>
        <m:r>
          <m:t>δ</m:t>
        </m:r>
        <m:r>
          <m:rPr>
            <m:sty m:val="bi"/>
          </m:rPr>
          <m:t>θ</m:t>
        </m:r>
        <m:r>
          <m:t>∈</m:t>
        </m:r>
        <m:sSup>
          <m:e>
            <m:r>
              <m:t>ℝ</m:t>
            </m:r>
          </m:e>
          <m:sup>
            <m:r>
              <m:t>3</m:t>
            </m:r>
          </m:sup>
        </m:sSup>
      </m:oMath>
      <w:r>
        <w:rPr>
          <w:rFonts w:ascii="Times New Roman" w:hAnsi="Times New Roman"/>
          <w:color w:val="000000"/>
          <w:sz w:val="24"/>
        </w:rPr>
        <w:t xml:space="preserve"> denotes the attitude error vector defined via quaternion perturbation:</w:t>
      </w:r>
    </w:p>
    <w:tbl>
      <w:tblPr>
        <w:tblW w:type="auto" w:w="0"/>
        <w:jc w:val="center"/>
        <w:tblLook w:firstColumn="1" w:firstRow="1" w:lastColumn="0" w:lastRow="0" w:noHBand="0" w:noVBand="1" w:val="04A0"/>
      </w:tblPr>
      <w:tblGrid>
        <w:gridCol w:w="4680"/>
        <w:gridCol w:w="4680"/>
      </w:tblGrid>
      <w:tr>
        <w:trPr>
          <w:cantSplit/>
        </w:trPr>
        <w:tc>
          <w:tcPr>
            <w:tcW w:type="dxa" w:w="8208"/>
            <w:tcMar>
              <w:top w:w="0" w:type="dxa"/>
              <w:bottom w:w="0" w:type="dxa"/>
              <w:left w:w="0" w:type="dxa"/>
              <w:right w:w="0" w:type="dxa"/>
            </w:tcMar>
            <w:tcBorders>
              <w:top w:val="none"/>
              <w:left w:val="none"/>
              <w:bottom w:val="none"/>
              <w:right w:val="none"/>
            </w:tcBorders>
          </w:tcPr>
          <w:p>
            <w:pPr>
              <w:spacing w:line="240" w:lineRule="auto" w:before="0" w:after="0"/>
              <w:jc w:val="center"/>
            </w:pPr>
            <m:oMath>
              <m:r>
                <m:t>𝐪=</m:t>
              </m:r>
              <m:acc>
                <m:accPr>
                  <m:chr m:val="̂"/>
                </m:accPr>
                <m:e>
                  <m:r>
                    <m:t>𝐪</m:t>
                  </m:r>
                </m:e>
              </m:acc>
              <m:r>
                <m:t>⊗[</m:t>
              </m:r>
              <m:eqArr>
                <m:e>
                  <m:r>
                    <m:t>1</m:t>
                  </m:r>
                </m:e>
                <m:e>
                  <m:f>
                    <m:fPr>
                      <m:type m:val="bar"/>
                    </m:fPr>
                    <m:num>
                      <m:r>
                        <m:t>1</m:t>
                      </m:r>
                    </m:num>
                    <m:den>
                      <m:r>
                        <m:t>2</m:t>
                      </m:r>
                    </m:den>
                  </m:f>
                  <m:r>
                    <m:t>δ</m:t>
                  </m:r>
                  <m:r>
                    <m:rPr>
                      <m:sty m:val="bi"/>
                    </m:rPr>
                    <m:t>θ</m:t>
                  </m:r>
                </m:e>
              </m:eqArr>
              <m:r>
                <m:t>]</m:t>
              </m:r>
            </m:oMath>
          </w:p>
        </w:tc>
        <w:tc>
          <w:tcPr>
            <w:tcW w:type="dxa" w:w="1152"/>
            <w:tcMar>
              <w:top w:w="0" w:type="dxa"/>
              <w:bottom w:w="0" w:type="dxa"/>
              <w:left w:w="0" w:type="dxa"/>
              <w:right w:w="0" w:type="dxa"/>
            </w:tcMar>
            <w:tcBorders>
              <w:top w:val="none"/>
              <w:left w:val="none"/>
              <w:bottom w:val="none"/>
              <w:right w:val="none"/>
            </w:tcBorders>
          </w:tcPr>
          <w:p>
            <w:pPr>
              <w:spacing w:line="240" w:lineRule="auto" w:before="0" w:after="0"/>
              <w:jc w:val="right"/>
            </w:pPr>
            <w:r>
              <w:rPr>
                <w:rFonts w:ascii="Times New Roman" w:hAnsi="Times New Roman"/>
                <w:sz w:val="24"/>
              </w:rPr>
              <w:t>(5)</w:t>
            </w:r>
          </w:p>
        </w:tc>
      </w:tr>
    </w:tbl>
    <w:p>
      <w:pPr>
        <w:spacing w:before="0" w:after="0" w:line="240" w:lineRule="auto"/>
        <w:ind w:firstLine="0"/>
        <w:jc w:val="both"/>
      </w:pPr>
      <w:r>
        <w:rPr>
          <w:rFonts w:ascii="Times New Roman" w:hAnsi="Times New Roman"/>
          <w:color w:val="000000"/>
          <w:sz w:val="24"/>
        </w:rPr>
        <w:t xml:space="preserve">Nominal state kinematics propagate at each IMU epoch </w:t>
      </w:r>
      <m:oMath>
        <m:r>
          <m:t>Δt</m:t>
        </m:r>
      </m:oMath>
      <w:r>
        <w:rPr>
          <w:rFonts w:ascii="Times New Roman" w:hAnsi="Times New Roman"/>
          <w:color w:val="000000"/>
          <w:sz w:val="24"/>
        </w:rPr>
        <w:t>:</w:t>
      </w:r>
    </w:p>
    <w:tbl>
      <w:tblPr>
        <w:tblW w:type="auto" w:w="0"/>
        <w:jc w:val="center"/>
        <w:tblLook w:firstColumn="1" w:firstRow="1" w:lastColumn="0" w:lastRow="0" w:noHBand="0" w:noVBand="1" w:val="04A0"/>
      </w:tblPr>
      <w:tblGrid>
        <w:gridCol w:w="4680"/>
        <w:gridCol w:w="4680"/>
      </w:tblGrid>
      <w:tr>
        <w:trPr>
          <w:cantSplit/>
        </w:trPr>
        <w:tc>
          <w:tcPr>
            <w:tcW w:type="dxa" w:w="8208"/>
            <w:tcMar>
              <w:top w:w="0" w:type="dxa"/>
              <w:bottom w:w="0" w:type="dxa"/>
              <w:left w:w="0" w:type="dxa"/>
              <w:right w:w="0" w:type="dxa"/>
            </w:tcMar>
            <w:tcBorders>
              <w:top w:val="none"/>
              <w:left w:val="none"/>
              <w:bottom w:val="none"/>
              <w:right w:val="none"/>
            </w:tcBorders>
          </w:tcPr>
          <w:p>
            <w:pPr>
              <w:spacing w:line="240" w:lineRule="auto" w:before="0" w:after="0"/>
              <w:jc w:val="center"/>
            </w:pPr>
            <m:oMath>
              <m:sSub>
                <m:e>
                  <m:acc>
                    <m:accPr>
                      <m:chr m:val="̂"/>
                    </m:accPr>
                    <m:e>
                      <m:r>
                        <m:t>𝐩</m:t>
                      </m:r>
                    </m:e>
                  </m:acc>
                </m:e>
                <m:sub>
                  <m:r>
                    <m:t>k+1</m:t>
                  </m:r>
                </m:sub>
              </m:sSub>
              <m:r>
                <m:t>=</m:t>
              </m:r>
              <m:sSub>
                <m:e>
                  <m:acc>
                    <m:accPr>
                      <m:chr m:val="̂"/>
                    </m:accPr>
                    <m:e>
                      <m:r>
                        <m:t>𝐩</m:t>
                      </m:r>
                    </m:e>
                  </m:acc>
                </m:e>
                <m:sub>
                  <m:r>
                    <m:t>k</m:t>
                  </m:r>
                </m:sub>
              </m:sSub>
              <m:r>
                <m:t>+</m:t>
              </m:r>
              <m:sSub>
                <m:e>
                  <m:acc>
                    <m:accPr>
                      <m:chr m:val="̂"/>
                    </m:accPr>
                    <m:e>
                      <m:r>
                        <m:t>𝐯</m:t>
                      </m:r>
                    </m:e>
                  </m:acc>
                </m:e>
                <m:sub>
                  <m:r>
                    <m:t>k</m:t>
                  </m:r>
                </m:sub>
              </m:sSub>
              <m:r>
                <m:t>Δt+</m:t>
              </m:r>
              <m:f>
                <m:fPr>
                  <m:type m:val="bar"/>
                </m:fPr>
                <m:num>
                  <m:r>
                    <m:t>1</m:t>
                  </m:r>
                </m:num>
                <m:den>
                  <m:r>
                    <m:t>2</m:t>
                  </m:r>
                </m:den>
              </m:f>
              <m:r>
                <m:t>(𝐑(</m:t>
              </m:r>
              <m:sSub>
                <m:e>
                  <m:acc>
                    <m:accPr>
                      <m:chr m:val="̂"/>
                    </m:accPr>
                    <m:e>
                      <m:r>
                        <m:t>𝐪</m:t>
                      </m:r>
                    </m:e>
                  </m:acc>
                </m:e>
                <m:sub>
                  <m:r>
                    <m:t>k</m:t>
                  </m:r>
                </m:sub>
              </m:sSub>
              <m:r>
                <m:t>)</m:t>
              </m:r>
              <m:sSubSup>
                <m:e>
                  <m:r>
                    <m:t>𝐟</m:t>
                  </m:r>
                </m:e>
                <m:sub>
                  <m:r>
                    <m:t>k</m:t>
                  </m:r>
                </m:sub>
                <m:sup>
                  <m:r>
                    <m:t>b</m:t>
                  </m:r>
                </m:sup>
              </m:sSubSup>
              <m:r>
                <m:t>+</m:t>
              </m:r>
              <m:sSup>
                <m:e>
                  <m:r>
                    <m:t>𝐠</m:t>
                  </m:r>
                </m:e>
                <m:sup>
                  <m:r>
                    <m:t>n</m:t>
                  </m:r>
                </m:sup>
              </m:sSup>
              <m:r>
                <m:t>)Δ</m:t>
              </m:r>
              <m:sSup>
                <m:e>
                  <m:r>
                    <m:t>t</m:t>
                  </m:r>
                </m:e>
                <m:sup>
                  <m:r>
                    <m:t>2</m:t>
                  </m:r>
                </m:sup>
              </m:sSup>
            </m:oMath>
          </w:p>
        </w:tc>
        <w:tc>
          <w:tcPr>
            <w:tcW w:type="dxa" w:w="1152"/>
            <w:tcMar>
              <w:top w:w="0" w:type="dxa"/>
              <w:bottom w:w="0" w:type="dxa"/>
              <w:left w:w="0" w:type="dxa"/>
              <w:right w:w="0" w:type="dxa"/>
            </w:tcMar>
            <w:tcBorders>
              <w:top w:val="none"/>
              <w:left w:val="none"/>
              <w:bottom w:val="none"/>
              <w:right w:val="none"/>
            </w:tcBorders>
          </w:tcPr>
          <w:p>
            <w:pPr>
              <w:spacing w:line="240" w:lineRule="auto" w:before="0" w:after="0"/>
              <w:jc w:val="right"/>
            </w:pPr>
            <w:r>
              <w:rPr>
                <w:rFonts w:ascii="Times New Roman" w:hAnsi="Times New Roman"/>
                <w:sz w:val="24"/>
              </w:rPr>
              <w:t>(6)</w:t>
            </w:r>
          </w:p>
        </w:tc>
      </w:tr>
    </w:tbl>
    <w:tbl>
      <w:tblPr>
        <w:tblW w:type="auto" w:w="0"/>
        <w:jc w:val="center"/>
        <w:tblLook w:firstColumn="1" w:firstRow="1" w:lastColumn="0" w:lastRow="0" w:noHBand="0" w:noVBand="1" w:val="04A0"/>
      </w:tblPr>
      <w:tblGrid>
        <w:gridCol w:w="4680"/>
        <w:gridCol w:w="4680"/>
      </w:tblGrid>
      <w:tr>
        <w:trPr>
          <w:cantSplit/>
        </w:trPr>
        <w:tc>
          <w:tcPr>
            <w:tcW w:type="dxa" w:w="8208"/>
            <w:tcMar>
              <w:top w:w="0" w:type="dxa"/>
              <w:bottom w:w="0" w:type="dxa"/>
              <w:left w:w="0" w:type="dxa"/>
              <w:right w:w="0" w:type="dxa"/>
            </w:tcMar>
            <w:tcBorders>
              <w:top w:val="none"/>
              <w:left w:val="none"/>
              <w:bottom w:val="none"/>
              <w:right w:val="none"/>
            </w:tcBorders>
          </w:tcPr>
          <w:p>
            <w:pPr>
              <w:spacing w:line="240" w:lineRule="auto" w:before="0" w:after="0"/>
              <w:jc w:val="center"/>
            </w:pPr>
            <m:oMath>
              <m:sSub>
                <m:e>
                  <m:acc>
                    <m:accPr>
                      <m:chr m:val="̂"/>
                    </m:accPr>
                    <m:e>
                      <m:r>
                        <m:t>𝐯</m:t>
                      </m:r>
                    </m:e>
                  </m:acc>
                </m:e>
                <m:sub>
                  <m:r>
                    <m:t>k+1</m:t>
                  </m:r>
                </m:sub>
              </m:sSub>
              <m:r>
                <m:t>=</m:t>
              </m:r>
              <m:sSub>
                <m:e>
                  <m:acc>
                    <m:accPr>
                      <m:chr m:val="̂"/>
                    </m:accPr>
                    <m:e>
                      <m:r>
                        <m:t>𝐯</m:t>
                      </m:r>
                    </m:e>
                  </m:acc>
                </m:e>
                <m:sub>
                  <m:r>
                    <m:t>k</m:t>
                  </m:r>
                </m:sub>
              </m:sSub>
              <m:r>
                <m:t>+(𝐑(</m:t>
              </m:r>
              <m:sSub>
                <m:e>
                  <m:acc>
                    <m:accPr>
                      <m:chr m:val="̂"/>
                    </m:accPr>
                    <m:e>
                      <m:r>
                        <m:t>𝐪</m:t>
                      </m:r>
                    </m:e>
                  </m:acc>
                </m:e>
                <m:sub>
                  <m:r>
                    <m:t>k</m:t>
                  </m:r>
                </m:sub>
              </m:sSub>
              <m:r>
                <m:t>)</m:t>
              </m:r>
              <m:sSubSup>
                <m:e>
                  <m:r>
                    <m:t>𝐟</m:t>
                  </m:r>
                </m:e>
                <m:sub>
                  <m:r>
                    <m:t>k</m:t>
                  </m:r>
                </m:sub>
                <m:sup>
                  <m:r>
                    <m:t>b</m:t>
                  </m:r>
                </m:sup>
              </m:sSubSup>
              <m:r>
                <m:t>+</m:t>
              </m:r>
              <m:sSup>
                <m:e>
                  <m:r>
                    <m:t>𝐠</m:t>
                  </m:r>
                </m:e>
                <m:sup>
                  <m:r>
                    <m:t>n</m:t>
                  </m:r>
                </m:sup>
              </m:sSup>
              <m:r>
                <m:t>)Δt,</m:t>
              </m:r>
              <m:sSub>
                <m:e>
                  <m:acc>
                    <m:accPr>
                      <m:chr m:val="̂"/>
                    </m:accPr>
                    <m:e>
                      <m:r>
                        <m:t>𝐪</m:t>
                      </m:r>
                    </m:e>
                  </m:acc>
                </m:e>
                <m:sub>
                  <m:r>
                    <m:t>k+1</m:t>
                  </m:r>
                </m:sub>
              </m:sSub>
              <m:r>
                <m:t>=</m:t>
              </m:r>
              <m:sSub>
                <m:e>
                  <m:acc>
                    <m:accPr>
                      <m:chr m:val="̂"/>
                    </m:accPr>
                    <m:e>
                      <m:r>
                        <m:t>𝐪</m:t>
                      </m:r>
                    </m:e>
                  </m:acc>
                </m:e>
                <m:sub>
                  <m:r>
                    <m:t>k</m:t>
                  </m:r>
                </m:sub>
              </m:sSub>
              <m:r>
                <m:t>⊗𝐪(</m:t>
              </m:r>
              <m:sSubSup>
                <m:e>
                  <m:r>
                    <m:rPr>
                      <m:sty m:val="bi"/>
                    </m:rPr>
                    <m:t>ω</m:t>
                  </m:r>
                </m:e>
                <m:sub>
                  <m:r>
                    <m:t>k</m:t>
                  </m:r>
                </m:sub>
                <m:sup>
                  <m:r>
                    <m:t>b</m:t>
                  </m:r>
                </m:sup>
              </m:sSubSup>
              <m:r>
                <m:t>Δt)</m:t>
              </m:r>
            </m:oMath>
          </w:p>
        </w:tc>
        <w:tc>
          <w:tcPr>
            <w:tcW w:type="dxa" w:w="1152"/>
            <w:tcMar>
              <w:top w:w="0" w:type="dxa"/>
              <w:bottom w:w="0" w:type="dxa"/>
              <w:left w:w="0" w:type="dxa"/>
              <w:right w:w="0" w:type="dxa"/>
            </w:tcMar>
            <w:tcBorders>
              <w:top w:val="none"/>
              <w:left w:val="none"/>
              <w:bottom w:val="none"/>
              <w:right w:val="none"/>
            </w:tcBorders>
          </w:tcPr>
          <w:p>
            <w:pPr>
              <w:spacing w:line="240" w:lineRule="auto" w:before="0" w:after="0"/>
              <w:jc w:val="right"/>
            </w:pPr>
            <w:r>
              <w:rPr>
                <w:rFonts w:ascii="Times New Roman" w:hAnsi="Times New Roman"/>
                <w:sz w:val="24"/>
              </w:rPr>
              <w:t>(7)</w:t>
            </w:r>
          </w:p>
        </w:tc>
      </w:tr>
    </w:tbl>
    <w:p>
      <w:pPr>
        <w:spacing w:before="0" w:after="0" w:line="240" w:lineRule="auto"/>
        <w:ind w:firstLine="0"/>
        <w:jc w:val="both"/>
      </w:pPr>
      <w:r>
        <w:rPr>
          <w:rFonts w:ascii="Times New Roman" w:hAnsi="Times New Roman"/>
          <w:color w:val="000000"/>
          <w:sz w:val="24"/>
        </w:rPr>
        <w:t xml:space="preserve">Error state covariance propagates as </w:t>
      </w:r>
      <m:oMath>
        <m:sSub>
          <m:e>
            <m:r>
              <m:t>𝐏</m:t>
            </m:r>
          </m:e>
          <m:sub>
            <m:r>
              <m:t>k+1|k</m:t>
            </m:r>
          </m:sub>
        </m:sSub>
        <m:r>
          <m:t>=</m:t>
        </m:r>
        <m:sSub>
          <m:e>
            <m:r>
              <m:t>𝐅</m:t>
            </m:r>
          </m:e>
          <m:sub>
            <m:r>
              <m:t>k</m:t>
            </m:r>
          </m:sub>
        </m:sSub>
        <m:sSub>
          <m:e>
            <m:r>
              <m:t>𝐏</m:t>
            </m:r>
          </m:e>
          <m:sub>
            <m:r>
              <m:t>k|k</m:t>
            </m:r>
          </m:sub>
        </m:sSub>
        <m:sSubSup>
          <m:e>
            <m:r>
              <m:t>𝐅</m:t>
            </m:r>
          </m:e>
          <m:sub>
            <m:r>
              <m:t>k</m:t>
            </m:r>
          </m:sub>
          <m:sup>
            <m:r>
              <m:t>T</m:t>
            </m:r>
          </m:sup>
        </m:sSubSup>
        <m:r>
          <m:t>+</m:t>
        </m:r>
        <m:sSub>
          <m:e>
            <m:r>
              <m:t>𝐐</m:t>
            </m:r>
          </m:e>
          <m:sub>
            <m:r>
              <m:t>k</m:t>
            </m:r>
          </m:sub>
        </m:sSub>
      </m:oMath>
      <w:r>
        <w:rPr>
          <w:rFonts w:ascii="Times New Roman" w:hAnsi="Times New Roman"/>
          <w:color w:val="000000"/>
          <w:sz w:val="24"/>
        </w:rPr>
        <w:t xml:space="preserve">, where </w:t>
      </w:r>
      <m:oMath>
        <m:sSub>
          <m:e>
            <m:r>
              <m:t>𝐅</m:t>
            </m:r>
          </m:e>
          <m:sub>
            <m:r>
              <m:t>k</m:t>
            </m:r>
          </m:sub>
        </m:sSub>
        <m:r>
          <m:t>≈</m:t>
        </m:r>
        <m:sSub>
          <m:e>
            <m:r>
              <m:t>𝐈</m:t>
            </m:r>
          </m:e>
          <m:sub>
            <m:r>
              <m:t>15</m:t>
            </m:r>
          </m:sub>
        </m:sSub>
        <m:r>
          <m:t>+</m:t>
        </m:r>
        <m:sSub>
          <m:e>
            <m:r>
              <m:t>𝐅</m:t>
            </m:r>
          </m:e>
          <m:sub>
            <m:r>
              <m:t>c</m:t>
            </m:r>
          </m:sub>
        </m:sSub>
        <m:r>
          <m:t>Δt</m:t>
        </m:r>
      </m:oMath>
      <w:r>
        <w:rPr>
          <w:rFonts w:ascii="Times New Roman" w:hAnsi="Times New Roman"/>
          <w:color w:val="000000"/>
          <w:sz w:val="24"/>
        </w:rPr>
        <w:t xml:space="preserve">, with continuous transition matrix </w:t>
      </w:r>
      <m:oMath>
        <m:sSub>
          <m:e>
            <m:r>
              <m:t>𝐅</m:t>
            </m:r>
          </m:e>
          <m:sub>
            <m:r>
              <m:t>c</m:t>
            </m:r>
          </m:sub>
        </m:sSub>
      </m:oMath>
      <w:r>
        <w:rPr>
          <w:rFonts w:ascii="Times New Roman" w:hAnsi="Times New Roman"/>
          <w:color w:val="000000"/>
          <w:sz w:val="24"/>
        </w:rPr>
        <w:t>:</w:t>
      </w:r>
    </w:p>
    <w:tbl>
      <w:tblPr>
        <w:tblW w:type="auto" w:w="0"/>
        <w:jc w:val="center"/>
        <w:tblLook w:firstColumn="1" w:firstRow="1" w:lastColumn="0" w:lastRow="0" w:noHBand="0" w:noVBand="1" w:val="04A0"/>
      </w:tblPr>
      <w:tblGrid>
        <w:gridCol w:w="4680"/>
        <w:gridCol w:w="4680"/>
      </w:tblGrid>
      <w:tr>
        <w:trPr>
          <w:cantSplit/>
        </w:trPr>
        <w:tc>
          <w:tcPr>
            <w:tcW w:type="dxa" w:w="8208"/>
            <w:tcMar>
              <w:top w:w="0" w:type="dxa"/>
              <w:bottom w:w="0" w:type="dxa"/>
              <w:left w:w="0" w:type="dxa"/>
              <w:right w:w="0" w:type="dxa"/>
            </w:tcMar>
            <w:tcBorders>
              <w:top w:val="none"/>
              <w:left w:val="none"/>
              <w:bottom w:val="none"/>
              <w:right w:val="none"/>
            </w:tcBorders>
          </w:tcPr>
          <w:p>
            <w:pPr>
              <w:spacing w:line="240" w:lineRule="auto" w:before="0" w:after="0"/>
              <w:jc w:val="center"/>
            </w:pPr>
            <m:oMath>
              <m:sSub>
                <m:e>
                  <m:r>
                    <m:t>𝐅</m:t>
                  </m:r>
                </m:e>
                <m:sub>
                  <m:r>
                    <m:t>c</m:t>
                  </m:r>
                </m:sub>
              </m:sSub>
              <m:r>
                <m:t>=[</m:t>
              </m:r>
              <m:m>
                <m:mPr>
                  <m:baseJc m:val="center"/>
                  <m:plcHide m:val="on"/>
                  <m:mcs>
                    <m:mc>
                      <m:mcPr>
                        <m:count m:val="5"/>
                        <m:mcJc m:val="center"/>
                      </m:mcPr>
                    </m:mc>
                  </m:mcs>
                </m:mPr>
                <m:mr>
                  <m:e>
                    <m:sSub>
                      <m:e>
                        <m:r>
                          <m:rPr>
                            <m:sty m:val="b"/>
                          </m:rPr>
                          <m:t>0</m:t>
                        </m:r>
                      </m:e>
                      <m:sub>
                        <m:r>
                          <m:t>3</m:t>
                        </m:r>
                      </m:sub>
                    </m:sSub>
                  </m:e>
                  <m:e>
                    <m:sSub>
                      <m:e>
                        <m:r>
                          <m:t>𝐈</m:t>
                        </m:r>
                      </m:e>
                      <m:sub>
                        <m:r>
                          <m:t>3</m:t>
                        </m:r>
                      </m:sub>
                    </m:sSub>
                  </m:e>
                  <m:e>
                    <m:sSub>
                      <m:e>
                        <m:r>
                          <m:rPr>
                            <m:sty m:val="b"/>
                          </m:rPr>
                          <m:t>0</m:t>
                        </m:r>
                      </m:e>
                      <m:sub>
                        <m:r>
                          <m:t>3</m:t>
                        </m:r>
                      </m:sub>
                    </m:sSub>
                  </m:e>
                  <m:e>
                    <m:sSub>
                      <m:e>
                        <m:r>
                          <m:rPr>
                            <m:sty m:val="b"/>
                          </m:rPr>
                          <m:t>0</m:t>
                        </m:r>
                      </m:e>
                      <m:sub>
                        <m:r>
                          <m:t>3</m:t>
                        </m:r>
                      </m:sub>
                    </m:sSub>
                  </m:e>
                  <m:e>
                    <m:sSub>
                      <m:e>
                        <m:r>
                          <m:rPr>
                            <m:sty m:val="b"/>
                          </m:rPr>
                          <m:t>0</m:t>
                        </m:r>
                      </m:e>
                      <m:sub>
                        <m:r>
                          <m:t>3</m:t>
                        </m:r>
                      </m:sub>
                    </m:sSub>
                  </m:e>
                </m:mr>
                <m:mr>
                  <m:e>
                    <m:sSub>
                      <m:e>
                        <m:r>
                          <m:rPr>
                            <m:sty m:val="b"/>
                          </m:rPr>
                          <m:t>0</m:t>
                        </m:r>
                      </m:e>
                      <m:sub>
                        <m:r>
                          <m:t>3</m:t>
                        </m:r>
                      </m:sub>
                    </m:sSub>
                  </m:e>
                  <m:e>
                    <m:sSub>
                      <m:e>
                        <m:r>
                          <m:rPr>
                            <m:sty m:val="b"/>
                          </m:rPr>
                          <m:t>0</m:t>
                        </m:r>
                      </m:e>
                      <m:sub>
                        <m:r>
                          <m:t>3</m:t>
                        </m:r>
                      </m:sub>
                    </m:sSub>
                  </m:e>
                  <m:e>
                    <m:r>
                      <m:t>−[𝐑</m:t>
                    </m:r>
                    <m:sSup>
                      <m:e>
                        <m:acc>
                          <m:accPr>
                            <m:chr m:val="̂"/>
                          </m:accPr>
                          <m:e>
                            <m:r>
                              <m:t>𝐚</m:t>
                            </m:r>
                          </m:e>
                        </m:acc>
                      </m:e>
                      <m:sup>
                        <m:r>
                          <m:t>b</m:t>
                        </m:r>
                      </m:sup>
                    </m:sSup>
                    <m:sSub>
                      <m:e>
                        <m:r>
                          <m:t>]</m:t>
                        </m:r>
                      </m:e>
                      <m:sub>
                        <m:r>
                          <m:t>×</m:t>
                        </m:r>
                      </m:sub>
                    </m:sSub>
                  </m:e>
                  <m:e>
                    <m:r>
                      <m:t>−𝐑</m:t>
                    </m:r>
                  </m:e>
                  <m:e>
                    <m:sSub>
                      <m:e>
                        <m:r>
                          <m:rPr>
                            <m:sty m:val="b"/>
                          </m:rPr>
                          <m:t>0</m:t>
                        </m:r>
                      </m:e>
                      <m:sub>
                        <m:r>
                          <m:t>3</m:t>
                        </m:r>
                      </m:sub>
                    </m:sSub>
                  </m:e>
                </m:mr>
                <m:mr>
                  <m:e>
                    <m:sSub>
                      <m:e>
                        <m:r>
                          <m:rPr>
                            <m:sty m:val="b"/>
                          </m:rPr>
                          <m:t>0</m:t>
                        </m:r>
                      </m:e>
                      <m:sub>
                        <m:r>
                          <m:t>3</m:t>
                        </m:r>
                      </m:sub>
                    </m:sSub>
                  </m:e>
                  <m:e>
                    <m:sSub>
                      <m:e>
                        <m:r>
                          <m:rPr>
                            <m:sty m:val="b"/>
                          </m:rPr>
                          <m:t>0</m:t>
                        </m:r>
                      </m:e>
                      <m:sub>
                        <m:r>
                          <m:t>3</m:t>
                        </m:r>
                      </m:sub>
                    </m:sSub>
                  </m:e>
                  <m:e>
                    <m:r>
                      <m:t>−[</m:t>
                    </m:r>
                    <m:sSup>
                      <m:e>
                        <m:acc>
                          <m:accPr>
                            <m:chr m:val="̂"/>
                          </m:accPr>
                          <m:e>
                            <m:r>
                              <m:rPr>
                                <m:sty m:val="bi"/>
                              </m:rPr>
                              <m:t>ω</m:t>
                            </m:r>
                          </m:e>
                        </m:acc>
                      </m:e>
                      <m:sup>
                        <m:r>
                          <m:t>b</m:t>
                        </m:r>
                      </m:sup>
                    </m:sSup>
                    <m:sSub>
                      <m:e>
                        <m:r>
                          <m:t>]</m:t>
                        </m:r>
                      </m:e>
                      <m:sub>
                        <m:r>
                          <m:t>×</m:t>
                        </m:r>
                      </m:sub>
                    </m:sSub>
                  </m:e>
                  <m:e>
                    <m:sSub>
                      <m:e>
                        <m:r>
                          <m:rPr>
                            <m:sty m:val="b"/>
                          </m:rPr>
                          <m:t>0</m:t>
                        </m:r>
                      </m:e>
                      <m:sub>
                        <m:r>
                          <m:t>3</m:t>
                        </m:r>
                      </m:sub>
                    </m:sSub>
                  </m:e>
                  <m:e>
                    <m:r>
                      <m:t>−</m:t>
                    </m:r>
                    <m:sSub>
                      <m:e>
                        <m:r>
                          <m:t>𝐈</m:t>
                        </m:r>
                      </m:e>
                      <m:sub>
                        <m:r>
                          <m:t>3</m:t>
                        </m:r>
                      </m:sub>
                    </m:sSub>
                  </m:e>
                </m:mr>
                <m:mr>
                  <m:e>
                    <m:sSub>
                      <m:e>
                        <m:r>
                          <m:rPr>
                            <m:sty m:val="b"/>
                          </m:rPr>
                          <m:t>0</m:t>
                        </m:r>
                      </m:e>
                      <m:sub>
                        <m:r>
                          <m:t>3</m:t>
                        </m:r>
                      </m:sub>
                    </m:sSub>
                  </m:e>
                  <m:e>
                    <m:sSub>
                      <m:e>
                        <m:r>
                          <m:rPr>
                            <m:sty m:val="b"/>
                          </m:rPr>
                          <m:t>0</m:t>
                        </m:r>
                      </m:e>
                      <m:sub>
                        <m:r>
                          <m:t>3</m:t>
                        </m:r>
                      </m:sub>
                    </m:sSub>
                  </m:e>
                  <m:e>
                    <m:sSub>
                      <m:e>
                        <m:r>
                          <m:rPr>
                            <m:sty m:val="b"/>
                          </m:rPr>
                          <m:t>0</m:t>
                        </m:r>
                      </m:e>
                      <m:sub>
                        <m:r>
                          <m:t>3</m:t>
                        </m:r>
                      </m:sub>
                    </m:sSub>
                  </m:e>
                  <m:e>
                    <m:sSub>
                      <m:e>
                        <m:r>
                          <m:rPr>
                            <m:sty m:val="b"/>
                          </m:rPr>
                          <m:t>0</m:t>
                        </m:r>
                      </m:e>
                      <m:sub>
                        <m:r>
                          <m:t>3</m:t>
                        </m:r>
                      </m:sub>
                    </m:sSub>
                  </m:e>
                  <m:e>
                    <m:sSub>
                      <m:e>
                        <m:r>
                          <m:rPr>
                            <m:sty m:val="b"/>
                          </m:rPr>
                          <m:t>0</m:t>
                        </m:r>
                      </m:e>
                      <m:sub>
                        <m:r>
                          <m:t>3</m:t>
                        </m:r>
                      </m:sub>
                    </m:sSub>
                  </m:e>
                </m:mr>
                <m:mr>
                  <m:e>
                    <m:sSub>
                      <m:e>
                        <m:r>
                          <m:rPr>
                            <m:sty m:val="b"/>
                          </m:rPr>
                          <m:t>0</m:t>
                        </m:r>
                      </m:e>
                      <m:sub>
                        <m:r>
                          <m:t>3</m:t>
                        </m:r>
                      </m:sub>
                    </m:sSub>
                  </m:e>
                  <m:e>
                    <m:sSub>
                      <m:e>
                        <m:r>
                          <m:rPr>
                            <m:sty m:val="b"/>
                          </m:rPr>
                          <m:t>0</m:t>
                        </m:r>
                      </m:e>
                      <m:sub>
                        <m:r>
                          <m:t>3</m:t>
                        </m:r>
                      </m:sub>
                    </m:sSub>
                  </m:e>
                  <m:e>
                    <m:sSub>
                      <m:e>
                        <m:r>
                          <m:rPr>
                            <m:sty m:val="b"/>
                          </m:rPr>
                          <m:t>0</m:t>
                        </m:r>
                      </m:e>
                      <m:sub>
                        <m:r>
                          <m:t>3</m:t>
                        </m:r>
                      </m:sub>
                    </m:sSub>
                  </m:e>
                  <m:e>
                    <m:sSub>
                      <m:e>
                        <m:r>
                          <m:rPr>
                            <m:sty m:val="b"/>
                          </m:rPr>
                          <m:t>0</m:t>
                        </m:r>
                      </m:e>
                      <m:sub>
                        <m:r>
                          <m:t>3</m:t>
                        </m:r>
                      </m:sub>
                    </m:sSub>
                  </m:e>
                  <m:e>
                    <m:sSub>
                      <m:e>
                        <m:r>
                          <m:rPr>
                            <m:sty m:val="b"/>
                          </m:rPr>
                          <m:t>0</m:t>
                        </m:r>
                      </m:e>
                      <m:sub>
                        <m:r>
                          <m:t>3</m:t>
                        </m:r>
                      </m:sub>
                    </m:sSub>
                  </m:e>
                </m:mr>
              </m:m>
              <m:r>
                <m:t>]</m:t>
              </m:r>
            </m:oMath>
          </w:p>
        </w:tc>
        <w:tc>
          <w:tcPr>
            <w:tcW w:type="dxa" w:w="1152"/>
            <w:tcMar>
              <w:top w:w="0" w:type="dxa"/>
              <w:bottom w:w="0" w:type="dxa"/>
              <w:left w:w="0" w:type="dxa"/>
              <w:right w:w="0" w:type="dxa"/>
            </w:tcMar>
            <w:tcBorders>
              <w:top w:val="none"/>
              <w:left w:val="none"/>
              <w:bottom w:val="none"/>
              <w:right w:val="none"/>
            </w:tcBorders>
          </w:tcPr>
          <w:p>
            <w:pPr>
              <w:spacing w:line="240" w:lineRule="auto" w:before="0" w:after="0"/>
              <w:jc w:val="right"/>
            </w:pPr>
            <w:r>
              <w:rPr>
                <w:rFonts w:ascii="Times New Roman" w:hAnsi="Times New Roman"/>
                <w:sz w:val="24"/>
              </w:rPr>
              <w:t>(8)</w:t>
            </w:r>
          </w:p>
        </w:tc>
      </w:tr>
    </w:tbl>
    <w:p>
      <w:pPr>
        <w:spacing w:before="0" w:after="0" w:line="240" w:lineRule="auto"/>
        <w:ind w:firstLine="0"/>
        <w:jc w:val="both"/>
      </w:pPr>
      <w:r>
        <w:rPr>
          <w:rFonts w:ascii="Times New Roman" w:hAnsi="Times New Roman"/>
          <w:color w:val="000000"/>
          <w:sz w:val="24"/>
        </w:rPr>
        <w:t xml:space="preserve">When a linear velocity measurement </w:t>
      </w:r>
      <m:oMath>
        <m:sSub>
          <m:e>
            <m:r>
              <m:t>𝐳</m:t>
            </m:r>
          </m:e>
          <m:sub>
            <m:r>
              <m:t>v</m:t>
            </m:r>
          </m:sub>
        </m:sSub>
      </m:oMath>
      <w:r>
        <w:rPr>
          <w:rFonts w:ascii="Times New Roman" w:hAnsi="Times New Roman"/>
          <w:color w:val="000000"/>
          <w:sz w:val="24"/>
        </w:rPr>
        <w:t xml:space="preserve"> becomes available, the innovation is computed as </w:t>
      </w:r>
      <m:oMath>
        <m:sSub>
          <m:e>
            <m:limUpp>
              <m:e>
                <m:r>
                  <m:t>𝐲</m:t>
                </m:r>
              </m:e>
              <m:lim>
                <m:r>
                  <m:t>~</m:t>
                </m:r>
              </m:lim>
            </m:limUpp>
          </m:e>
          <m:sub>
            <m:r>
              <m:t>v</m:t>
            </m:r>
          </m:sub>
        </m:sSub>
        <m:r>
          <m:t>=</m:t>
        </m:r>
        <m:sSub>
          <m:e>
            <m:r>
              <m:t>𝐳</m:t>
            </m:r>
          </m:e>
          <m:sub>
            <m:r>
              <m:t>v</m:t>
            </m:r>
          </m:sub>
        </m:sSub>
        <m:r>
          <m:t>−</m:t>
        </m:r>
        <m:sSup>
          <m:e>
            <m:acc>
              <m:accPr>
                <m:chr m:val="̂"/>
              </m:accPr>
              <m:e>
                <m:r>
                  <m:t>𝐯</m:t>
                </m:r>
              </m:e>
            </m:acc>
          </m:e>
          <m:sup>
            <m:r>
              <m:t>n</m:t>
            </m:r>
          </m:sup>
        </m:sSup>
      </m:oMath>
      <w:r>
        <w:rPr>
          <w:rFonts w:ascii="Times New Roman" w:hAnsi="Times New Roman"/>
          <w:color w:val="000000"/>
          <w:sz w:val="24"/>
        </w:rPr>
        <w:t xml:space="preserve">, with measurement matrix </w:t>
      </w:r>
      <m:oMath>
        <m:sSub>
          <m:e>
            <m:r>
              <m:t>𝐇</m:t>
            </m:r>
          </m:e>
          <m:sub>
            <m:r>
              <m:t>v</m:t>
            </m:r>
          </m:sub>
        </m:sSub>
        <m:r>
          <m:t>=[</m:t>
        </m:r>
        <m:m>
          <m:mPr>
            <m:baseJc m:val="center"/>
            <m:plcHide m:val="on"/>
            <m:mcs>
              <m:mc>
                <m:mcPr>
                  <m:count m:val="3"/>
                  <m:mcJc m:val="center"/>
                </m:mcPr>
              </m:mc>
            </m:mcs>
          </m:mPr>
          <m:mr>
            <m:e>
              <m:sSub>
                <m:e>
                  <m:r>
                    <m:rPr>
                      <m:sty m:val="b"/>
                    </m:rPr>
                    <m:t>0</m:t>
                  </m:r>
                </m:e>
                <m:sub>
                  <m:r>
                    <m:t>3×3</m:t>
                  </m:r>
                </m:sub>
              </m:sSub>
            </m:e>
            <m:e>
              <m:sSub>
                <m:e>
                  <m:r>
                    <m:t>𝐈</m:t>
                  </m:r>
                </m:e>
                <m:sub>
                  <m:r>
                    <m:t>3</m:t>
                  </m:r>
                </m:sub>
              </m:sSub>
            </m:e>
            <m:e>
              <m:sSub>
                <m:e>
                  <m:r>
                    <m:rPr>
                      <m:sty m:val="b"/>
                    </m:rPr>
                    <m:t>0</m:t>
                  </m:r>
                </m:e>
                <m:sub>
                  <m:r>
                    <m:t>3×9</m:t>
                  </m:r>
                </m:sub>
              </m:sSub>
            </m:e>
          </m:mr>
        </m:m>
        <m:r>
          <m:t>]</m:t>
        </m:r>
      </m:oMath>
      <w:r>
        <w:rPr>
          <w:rFonts w:ascii="Times New Roman" w:hAnsi="Times New Roman"/>
          <w:color w:val="000000"/>
          <w:sz w:val="24"/>
        </w:rPr>
        <w:t>.</w:t>
      </w:r>
    </w:p>
    <w:p>
      <w:pPr>
        <w:spacing w:before="0" w:after="0" w:line="240" w:lineRule="auto"/>
        <w:ind w:firstLine="0"/>
        <w:jc w:val="both"/>
      </w:pPr>
      <w:r>
        <w:rPr>
          <w:rFonts w:ascii="Times New Roman" w:hAnsi="Times New Roman"/>
          <w:color w:val="000000"/>
          <w:sz w:val="24"/>
        </w:rPr>
        <w:t>Figure 1 illustrates the overall NavSense pipeline, showing the relationship between inertial preprocessing, learned velocity estimation, kinematic integration, adaptive fusion, ESKF propagation, and downstream map matching.</w:t>
      </w:r>
    </w:p>
    <w:p>
      <w:pPr>
        <w:spacing w:before="0" w:after="0" w:line="240" w:lineRule="auto"/>
        <w:jc w:val="center"/>
      </w:pPr>
      <w:r>
        <w:drawing>
          <wp:inline xmlns:a="http://schemas.openxmlformats.org/drawingml/2006/main" xmlns:pic="http://schemas.openxmlformats.org/drawingml/2006/picture">
            <wp:extent cx="5303520" cy="3649211"/>
            <wp:docPr id="1" name="Picture 1"/>
            <wp:cNvGraphicFramePr>
              <a:graphicFrameLocks noChangeAspect="1"/>
            </wp:cNvGraphicFramePr>
            <a:graphic>
              <a:graphicData uri="http://schemas.openxmlformats.org/drawingml/2006/picture">
                <pic:pic>
                  <pic:nvPicPr>
                    <pic:cNvPr id="0" name="Figure_01.png"/>
                    <pic:cNvPicPr/>
                  </pic:nvPicPr>
                  <pic:blipFill>
                    <a:blip r:embed="rId9"/>
                    <a:stretch>
                      <a:fillRect/>
                    </a:stretch>
                  </pic:blipFill>
                  <pic:spPr>
                    <a:xfrm>
                      <a:off x="0" y="0"/>
                      <a:ext cx="5303520" cy="3649211"/>
                    </a:xfrm>
                    <a:prstGeom prst="rect"/>
                  </pic:spPr>
                </pic:pic>
              </a:graphicData>
            </a:graphic>
          </wp:inline>
        </w:drawing>
      </w:r>
    </w:p>
    <w:p>
      <w:pPr>
        <w:spacing w:before="0" w:after="0" w:line="240" w:lineRule="auto"/>
        <w:jc w:val="both"/>
      </w:pPr>
      <w:r>
        <w:rPr>
          <w:rFonts w:ascii="Times New Roman" w:hAnsi="Times New Roman"/>
          <w:i/>
          <w:color w:val="000000"/>
          <w:sz w:val="20"/>
        </w:rPr>
        <w:t>Figure 1. NavSense end-to-end modular navigation architecture showing raw sensor ingestion, temporal preprocessing, causal TCN-kin velocity estimation (4 causal residual blocks, 61-sample receptive field reach corresponding to 6.0 s causal look-back), 15-state Error-State Kalman Filter with decoupled velocity damping, and downstream open-loop map matching.</w:t>
      </w:r>
    </w:p>
    <w:p>
      <w:pPr>
        <w:keepNext/>
        <w:spacing w:before="0" w:after="0" w:line="240" w:lineRule="auto"/>
        <w:jc w:val="left"/>
      </w:pPr>
      <w:r>
        <w:rPr>
          <w:rFonts w:ascii="Times New Roman" w:hAnsi="Times New Roman"/>
          <w:i/>
          <w:sz w:val="24"/>
        </w:rPr>
        <w:t>2.5. Learned velocity estimation</w:t>
      </w:r>
    </w:p>
    <w:p>
      <w:pPr>
        <w:spacing w:before="0" w:after="0" w:line="240" w:lineRule="auto"/>
        <w:ind w:firstLine="0"/>
        <w:jc w:val="both"/>
      </w:pPr>
      <w:r>
        <w:rPr>
          <w:rFonts w:ascii="Times New Roman" w:hAnsi="Times New Roman"/>
          <w:color w:val="000000"/>
          <w:sz w:val="24"/>
        </w:rPr>
        <w:t xml:space="preserve">To provide an independent velocity pseudo-measurement during satellite blackouts, we utilize a causal Temporal Convolutional Network with kinematic features (TCN-kin). The network processes a rolling temporal history of 100 samples (10.0 s buffer), but enforces causal receptive field constraints such that the effective mathematical receptive field span is 61 samples (corresponding to a 6.0-s causal look-back interval at 10 Hz, </w:t>
      </w:r>
      <m:oMath>
        <m:d>
          <m:dPr>
            <m:begChr m:val="["/>
            <m:sepChr m:val=""/>
            <m:endChr m:val="]"/>
          </m:dPr>
          <m:e>
            <m:r>
              <m:t>t</m:t>
            </m:r>
            <m:r>
              <m:t>−</m:t>
            </m:r>
            <m:r>
              <m:t>60</m:t>
            </m:r>
            <m:r>
              <m:t>,</m:t>
            </m:r>
            <m:r>
              <m:t>t</m:t>
            </m:r>
          </m:e>
        </m:d>
      </m:oMath>
      <w:r>
        <w:rPr>
          <w:rFonts w:ascii="Times New Roman" w:hAnsi="Times New Roman"/>
          <w:color w:val="000000"/>
          <w:sz w:val="24"/>
        </w:rPr>
        <w:t>), preventing dependence on future epochs.</w:t>
      </w:r>
    </w:p>
    <w:p>
      <w:pPr>
        <w:spacing w:before="0" w:after="0" w:line="240" w:lineRule="auto"/>
        <w:ind w:firstLine="0"/>
        <w:jc w:val="both"/>
      </w:pPr>
      <w:r>
        <w:rPr>
          <w:rFonts w:ascii="Times New Roman" w:hAnsi="Times New Roman"/>
          <w:color w:val="000000"/>
          <w:sz w:val="24"/>
        </w:rPr>
        <w:t xml:space="preserve">The input tensor </w:t>
      </w:r>
      <m:oMath>
        <m:sSub>
          <m:e>
            <m:r>
              <m:t>𝐗</m:t>
            </m:r>
          </m:e>
          <m:sub>
            <m:r>
              <m:t>k</m:t>
            </m:r>
          </m:sub>
        </m:sSub>
        <m:r>
          <m:t>∈</m:t>
        </m:r>
        <m:sSup>
          <m:e>
            <m:r>
              <m:t>ℝ</m:t>
            </m:r>
          </m:e>
          <m:sup>
            <m:r>
              <m:t>100×9</m:t>
            </m:r>
          </m:sup>
        </m:sSup>
      </m:oMath>
      <w:r>
        <w:rPr>
          <w:rFonts w:ascii="Times New Roman" w:hAnsi="Times New Roman"/>
          <w:color w:val="000000"/>
          <w:sz w:val="24"/>
        </w:rPr>
        <w:t xml:space="preserve"> comprises nine causal kinematic channels:</w:t>
        <w:br/>
        <w:t xml:space="preserve">1–3. Tri-axial specific force in the leveled frame: </w:t>
      </w:r>
      <m:oMath>
        <m:sSub>
          <m:e>
            <m:r>
              <m:t>a</m:t>
            </m:r>
          </m:e>
          <m:sub>
            <m:r>
              <m:rPr>
                <m:nor/>
              </m:rPr>
              <m:t>lin</m:t>
            </m:r>
            <m:r>
              <m:t>,x</m:t>
            </m:r>
          </m:sub>
        </m:sSub>
        <m:r>
          <m:t>,</m:t>
        </m:r>
        <m:sSub>
          <m:e>
            <m:r>
              <m:t>a</m:t>
            </m:r>
          </m:e>
          <m:sub>
            <m:r>
              <m:rPr>
                <m:nor/>
              </m:rPr>
              <m:t>lin</m:t>
            </m:r>
            <m:r>
              <m:t>,y</m:t>
            </m:r>
          </m:sub>
        </m:sSub>
        <m:r>
          <m:t>,</m:t>
        </m:r>
        <m:sSub>
          <m:e>
            <m:r>
              <m:t>a</m:t>
            </m:r>
          </m:e>
          <m:sub>
            <m:r>
              <m:rPr>
                <m:nor/>
              </m:rPr>
              <m:t>lin</m:t>
            </m:r>
            <m:r>
              <m:t>,z</m:t>
            </m:r>
          </m:sub>
        </m:sSub>
      </m:oMath>
      <w:r>
        <w:rPr>
          <w:rFonts w:ascii="Times New Roman" w:hAnsi="Times New Roman"/>
          <w:color w:val="000000"/>
          <w:sz w:val="24"/>
        </w:rPr>
        <w:br/>
        <w:t xml:space="preserve">4–6. Tri-axial angular rates in the device body frame: </w:t>
      </w:r>
      <m:oMath>
        <m:sSub>
          <m:e>
            <m:r>
              <m:t>ω</m:t>
            </m:r>
          </m:e>
          <m:sub>
            <m:r>
              <m:t>z</m:t>
            </m:r>
          </m:sub>
        </m:sSub>
        <m:r>
          <m:t>,</m:t>
        </m:r>
        <m:sSub>
          <m:e>
            <m:r>
              <m:t>ω</m:t>
            </m:r>
          </m:e>
          <m:sub>
            <m:r>
              <m:t>y</m:t>
            </m:r>
          </m:sub>
        </m:sSub>
        <m:r>
          <m:t>,</m:t>
        </m:r>
        <m:sSub>
          <m:e>
            <m:r>
              <m:t>ω</m:t>
            </m:r>
          </m:e>
          <m:sub>
            <m:r>
              <m:t>x</m:t>
            </m:r>
          </m:sub>
        </m:sSub>
      </m:oMath>
    </w:p>
    <w:p>
      <w:pPr>
        <w:spacing w:before="0" w:after="0" w:line="240" w:lineRule="auto"/>
        <w:ind w:firstLine="0"/>
        <w:jc w:val="both"/>
      </w:pPr>
      <w:r>
        <w:rPr>
          <w:rFonts w:ascii="Times New Roman" w:hAnsi="Times New Roman"/>
          <w:color w:val="000000"/>
          <w:sz w:val="24"/>
        </w:rPr>
        <w:t xml:space="preserve">7. Planar horizontal acceleration magnitude: </w:t>
      </w:r>
      <m:oMath>
        <m:sSub>
          <m:e>
            <m:r>
              <m:t>a</m:t>
            </m:r>
          </m:e>
          <m:sub>
            <m:r>
              <m:t>h</m:t>
            </m:r>
          </m:sub>
        </m:sSub>
        <m:r>
          <m:t>=</m:t>
        </m:r>
        <m:rad>
          <m:radPr>
            <m:degHide m:val="on"/>
          </m:radPr>
          <m:deg/>
          <m:e>
            <m:sSubSup>
              <m:e>
                <m:r>
                  <m:t>a</m:t>
                </m:r>
              </m:e>
              <m:sub>
                <m:r>
                  <m:rPr>
                    <m:nor/>
                  </m:rPr>
                  <m:t>lin</m:t>
                </m:r>
                <m:r>
                  <m:t>,x</m:t>
                </m:r>
              </m:sub>
              <m:sup>
                <m:r>
                  <m:t>2</m:t>
                </m:r>
              </m:sup>
            </m:sSubSup>
            <m:r>
              <m:t>+</m:t>
            </m:r>
            <m:sSubSup>
              <m:e>
                <m:r>
                  <m:t>a</m:t>
                </m:r>
              </m:e>
              <m:sub>
                <m:r>
                  <m:rPr>
                    <m:nor/>
                  </m:rPr>
                  <m:t>lin</m:t>
                </m:r>
                <m:r>
                  <m:t>,y</m:t>
                </m:r>
              </m:sub>
              <m:sup>
                <m:r>
                  <m:t>2</m:t>
                </m:r>
              </m:sup>
            </m:sSubSup>
          </m:e>
        </m:rad>
      </m:oMath>
    </w:p>
    <w:p>
      <w:pPr>
        <w:spacing w:before="0" w:after="0" w:line="240" w:lineRule="auto"/>
        <w:ind w:firstLine="0"/>
        <w:jc w:val="both"/>
      </w:pPr>
      <w:r>
        <w:rPr>
          <w:rFonts w:ascii="Times New Roman" w:hAnsi="Times New Roman"/>
          <w:color w:val="000000"/>
          <w:sz w:val="24"/>
        </w:rPr>
        <w:t xml:space="preserve">8. Vertical acceleration magnitude: </w:t>
      </w:r>
      <m:oMath>
        <m:sSub>
          <m:e>
            <m:r>
              <m:t>a</m:t>
            </m:r>
          </m:e>
          <m:sub>
            <m:r>
              <m:t>v</m:t>
            </m:r>
          </m:sub>
        </m:sSub>
        <m:r>
          <m:t>=|</m:t>
        </m:r>
        <m:sSub>
          <m:e>
            <m:r>
              <m:t>a</m:t>
            </m:r>
          </m:e>
          <m:sub>
            <m:r>
              <m:rPr>
                <m:nor/>
              </m:rPr>
              <m:t>lin</m:t>
            </m:r>
            <m:r>
              <m:t>,z</m:t>
            </m:r>
          </m:sub>
        </m:sSub>
        <m:r>
          <m:t>|</m:t>
        </m:r>
      </m:oMath>
      <w:r>
        <w:rPr>
          <w:rFonts w:ascii="Times New Roman" w:hAnsi="Times New Roman"/>
          <w:color w:val="000000"/>
          <w:sz w:val="24"/>
        </w:rPr>
        <w:br/>
        <w:t xml:space="preserve">9. Turning-acceleration coupling product: </w:t>
      </w:r>
      <m:oMath>
        <m:r>
          <m:t>κ=</m:t>
        </m:r>
        <m:sSub>
          <m:e>
            <m:r>
              <m:t>ω</m:t>
            </m:r>
          </m:e>
          <m:sub>
            <m:r>
              <m:rPr>
                <m:nor/>
              </m:rPr>
              <m:t>mag</m:t>
            </m:r>
          </m:sub>
        </m:sSub>
        <m:r>
          <m:t>·</m:t>
        </m:r>
        <m:sSub>
          <m:e>
            <m:r>
              <m:t>a</m:t>
            </m:r>
          </m:e>
          <m:sub>
            <m:r>
              <m:t>h</m:t>
            </m:r>
          </m:sub>
        </m:sSub>
      </m:oMath>
      <w:r>
        <w:rPr>
          <w:rFonts w:ascii="Times New Roman" w:hAnsi="Times New Roman"/>
          <w:color w:val="000000"/>
          <w:sz w:val="24"/>
        </w:rPr>
        <w:t xml:space="preserve">, where </w:t>
      </w:r>
      <m:oMath>
        <m:sSub>
          <m:e>
            <m:r>
              <m:t>ω</m:t>
            </m:r>
          </m:e>
          <m:sub>
            <m:r>
              <m:rPr>
                <m:nor/>
              </m:rPr>
              <m:t>mag</m:t>
            </m:r>
          </m:sub>
        </m:sSub>
        <m:r>
          <m:t>=</m:t>
        </m:r>
        <m:rad>
          <m:radPr>
            <m:degHide m:val="on"/>
          </m:radPr>
          <m:deg/>
          <m:e>
            <m:sSubSup>
              <m:e>
                <m:r>
                  <m:t>ω</m:t>
                </m:r>
              </m:e>
              <m:sub>
                <m:r>
                  <m:t>x</m:t>
                </m:r>
              </m:sub>
              <m:sup>
                <m:r>
                  <m:t>2</m:t>
                </m:r>
              </m:sup>
            </m:sSubSup>
            <m:r>
              <m:t>+</m:t>
            </m:r>
            <m:sSubSup>
              <m:e>
                <m:r>
                  <m:t>ω</m:t>
                </m:r>
              </m:e>
              <m:sub>
                <m:r>
                  <m:t>y</m:t>
                </m:r>
              </m:sub>
              <m:sup>
                <m:r>
                  <m:t>2</m:t>
                </m:r>
              </m:sup>
            </m:sSubSup>
            <m:r>
              <m:t>+</m:t>
            </m:r>
            <m:sSubSup>
              <m:e>
                <m:r>
                  <m:t>ω</m:t>
                </m:r>
              </m:e>
              <m:sub>
                <m:r>
                  <m:t>z</m:t>
                </m:r>
              </m:sub>
              <m:sup>
                <m:r>
                  <m:t>2</m:t>
                </m:r>
              </m:sup>
            </m:sSubSup>
          </m:e>
        </m:rad>
      </m:oMath>
      <w:r>
        <w:rPr>
          <w:rFonts w:ascii="Times New Roman" w:hAnsi="Times New Roman"/>
          <w:color w:val="000000"/>
          <w:sz w:val="24"/>
        </w:rPr>
        <w:t>, capturing instantaneous centripetal dynamics directly from IMU channels without velocity feedback or target leakage.</w:t>
      </w:r>
    </w:p>
    <w:p>
      <w:pPr>
        <w:spacing w:before="0" w:after="0" w:line="240" w:lineRule="auto"/>
        <w:ind w:firstLine="0"/>
        <w:jc w:val="both"/>
      </w:pPr>
      <w:r>
        <w:rPr>
          <w:rFonts w:ascii="Times New Roman" w:hAnsi="Times New Roman"/>
          <w:color w:val="000000"/>
          <w:sz w:val="24"/>
        </w:rPr>
        <w:t xml:space="preserve">TCN-kin consists of four residual blocks with dilated 1D causal convolutions (dilations </w:t>
      </w:r>
      <m:oMath>
        <m:r>
          <m:t>d∈{1,2,4,8}</m:t>
        </m:r>
      </m:oMath>
      <w:r>
        <w:rPr>
          <w:rFonts w:ascii="Times New Roman" w:hAnsi="Times New Roman"/>
          <w:color w:val="000000"/>
          <w:sz w:val="24"/>
        </w:rPr>
        <w:t xml:space="preserve">, kernel size </w:t>
      </w:r>
      <m:oMath>
        <m:r>
          <m:t>k=3</m:t>
        </m:r>
      </m:oMath>
      <w:r>
        <w:rPr>
          <w:rFonts w:ascii="Times New Roman" w:hAnsi="Times New Roman"/>
          <w:color w:val="000000"/>
          <w:sz w:val="24"/>
        </w:rPr>
        <w:t xml:space="preserve">, channel dimensions 32 to 64), batch normalization, ReLU activation, and a temporal dropout rate of 0.15. The final temporal feature projects through a linear regression head producing scalar forward speed </w:t>
      </w:r>
      <m:oMath>
        <m:sSub>
          <m:e>
            <m:acc>
              <m:accPr>
                <m:chr m:val="̂"/>
              </m:accPr>
              <m:e>
                <m:r>
                  <m:t>v</m:t>
                </m:r>
              </m:e>
            </m:acc>
          </m:e>
          <m:sub>
            <m:r>
              <m:rPr>
                <m:nor/>
              </m:rPr>
              <m:t>TCN</m:t>
            </m:r>
          </m:sub>
        </m:sSub>
        <m:r>
          <m:t>∈</m:t>
        </m:r>
        <m:sSup>
          <m:e>
            <m:r>
              <m:t>ℝ</m:t>
            </m:r>
          </m:e>
          <m:sup>
            <m:r>
              <m:t>+</m:t>
            </m:r>
          </m:sup>
        </m:sSup>
      </m:oMath>
      <w:r>
        <w:rPr>
          <w:rFonts w:ascii="Times New Roman" w:hAnsi="Times New Roman"/>
          <w:color w:val="000000"/>
          <w:sz w:val="24"/>
        </w:rPr>
        <w:t xml:space="preserve">. The total parameter count is exactly 60,225 weights (~60k parameters). The network is trained using AdamW (learning rate </w:t>
      </w:r>
      <m:oMath>
        <m:sSup>
          <m:e>
            <m:r>
              <m:t>10</m:t>
            </m:r>
          </m:e>
          <m:sup>
            <m:r>
              <m:t>−3</m:t>
            </m:r>
          </m:sup>
        </m:sSup>
      </m:oMath>
      <w:r>
        <w:rPr>
          <w:rFonts w:ascii="Times New Roman" w:hAnsi="Times New Roman"/>
          <w:color w:val="000000"/>
          <w:sz w:val="24"/>
        </w:rPr>
        <w:t xml:space="preserve">, weight decay </w:t>
      </w:r>
      <m:oMath>
        <m:sSup>
          <m:e>
            <m:r>
              <m:t>10</m:t>
            </m:r>
          </m:e>
          <m:sup>
            <m:r>
              <m:t>−4</m:t>
            </m:r>
          </m:sup>
        </m:sSup>
      </m:oMath>
      <w:r>
        <w:rPr>
          <w:rFonts w:ascii="Times New Roman" w:hAnsi="Times New Roman"/>
          <w:color w:val="000000"/>
          <w:sz w:val="24"/>
        </w:rPr>
        <w:t xml:space="preserve">) minimizing Huber loss with parameter </w:t>
      </w:r>
      <m:oMath>
        <m:r>
          <m:t>δ=1.0</m:t>
        </m:r>
        <m:r>
          <m:rPr>
            <m:nor/>
          </m:rPr>
          <m:t> m/s</m:t>
        </m:r>
      </m:oMath>
      <w:r>
        <w:rPr>
          <w:rFonts w:ascii="Times New Roman" w:hAnsi="Times New Roman"/>
          <w:color w:val="000000"/>
          <w:sz w:val="24"/>
        </w:rPr>
        <w:t>.</w:t>
      </w:r>
    </w:p>
    <w:p>
      <w:pPr>
        <w:keepNext/>
        <w:spacing w:before="0" w:after="0" w:line="240" w:lineRule="auto"/>
        <w:jc w:val="left"/>
      </w:pPr>
      <w:r>
        <w:rPr>
          <w:rFonts w:ascii="Times New Roman" w:hAnsi="Times New Roman"/>
          <w:i/>
          <w:sz w:val="24"/>
        </w:rPr>
        <w:t>2.6. Constraint and fusion mechanisms</w:t>
      </w:r>
    </w:p>
    <w:p>
      <w:pPr>
        <w:spacing w:before="0" w:after="0" w:line="240" w:lineRule="auto"/>
        <w:ind w:firstLine="0"/>
        <w:jc w:val="both"/>
      </w:pPr>
      <w:r>
        <w:rPr>
          <w:rFonts w:ascii="Times New Roman" w:hAnsi="Times New Roman"/>
          <w:color w:val="000000"/>
          <w:sz w:val="24"/>
        </w:rPr>
        <w:t>The navigation engine incorporates three distinct velocity estimation branches:</w:t>
      </w:r>
    </w:p>
    <w:p>
      <w:pPr>
        <w:spacing w:before="0" w:after="0" w:line="240" w:lineRule="auto"/>
        <w:ind w:firstLine="0"/>
        <w:jc w:val="both"/>
      </w:pPr>
      <w:r>
        <w:rPr>
          <w:rFonts w:ascii="Times New Roman" w:hAnsi="Times New Roman"/>
          <w:color w:val="000000"/>
          <w:sz w:val="24"/>
        </w:rPr>
        <w:t xml:space="preserve">1. Neural velocity branch: The causal TCN-kin speed estimate </w:t>
      </w:r>
      <m:oMath>
        <m:sSub>
          <m:e>
            <m:acc>
              <m:accPr>
                <m:chr m:val="̂"/>
              </m:accPr>
              <m:e>
                <m:r>
                  <m:t>v</m:t>
                </m:r>
              </m:e>
            </m:acc>
          </m:e>
          <m:sub>
            <m:r>
              <m:rPr>
                <m:nor/>
              </m:rPr>
              <m:t>TCN</m:t>
            </m:r>
          </m:sub>
        </m:sSub>
      </m:oMath>
      <w:r>
        <w:rPr>
          <w:rFonts w:ascii="Times New Roman" w:hAnsi="Times New Roman"/>
          <w:color w:val="000000"/>
          <w:sz w:val="24"/>
        </w:rPr>
        <w:t>.</w:t>
      </w:r>
    </w:p>
    <w:p>
      <w:pPr>
        <w:spacing w:before="0" w:after="0" w:line="240" w:lineRule="auto"/>
        <w:ind w:firstLine="0"/>
        <w:jc w:val="both"/>
      </w:pPr>
      <w:r>
        <w:rPr>
          <w:rFonts w:ascii="Times New Roman" w:hAnsi="Times New Roman"/>
          <w:color w:val="000000"/>
          <w:sz w:val="24"/>
        </w:rPr>
        <w:t xml:space="preserve">2. Stateful kinematic branch: Pure kinematic forward acceleration integration initialized at blackout onset </w:t>
      </w:r>
      <m:oMath>
        <m:sSub>
          <m:e>
            <m:r>
              <m:t>t</m:t>
            </m:r>
          </m:e>
          <m:sub>
            <m:r>
              <m:t>0</m:t>
            </m:r>
          </m:sub>
        </m:sSub>
      </m:oMath>
      <w:r>
        <w:rPr>
          <w:rFonts w:ascii="Times New Roman" w:hAnsi="Times New Roman"/>
          <w:color w:val="000000"/>
          <w:sz w:val="24"/>
        </w:rPr>
        <w:t>:</w:t>
      </w:r>
    </w:p>
    <w:tbl>
      <w:tblPr>
        <w:tblW w:type="auto" w:w="0"/>
        <w:jc w:val="center"/>
        <w:tblLook w:firstColumn="1" w:firstRow="1" w:lastColumn="0" w:lastRow="0" w:noHBand="0" w:noVBand="1" w:val="04A0"/>
      </w:tblPr>
      <w:tblGrid>
        <w:gridCol w:w="4680"/>
        <w:gridCol w:w="4680"/>
      </w:tblGrid>
      <w:tr>
        <w:trPr>
          <w:cantSplit/>
        </w:trPr>
        <w:tc>
          <w:tcPr>
            <w:tcW w:type="dxa" w:w="8208"/>
            <w:tcMar>
              <w:top w:w="0" w:type="dxa"/>
              <w:bottom w:w="0" w:type="dxa"/>
              <w:left w:w="0" w:type="dxa"/>
              <w:right w:w="0" w:type="dxa"/>
            </w:tcMar>
            <w:tcBorders>
              <w:top w:val="none"/>
              <w:left w:val="none"/>
              <w:bottom w:val="none"/>
              <w:right w:val="none"/>
            </w:tcBorders>
          </w:tcPr>
          <w:p>
            <w:pPr>
              <w:spacing w:line="240" w:lineRule="auto" w:before="0" w:after="0"/>
              <w:jc w:val="center"/>
            </w:pPr>
            <m:oMath>
              <m:sSub>
                <m:e>
                  <m:r>
                    <m:t>v</m:t>
                  </m:r>
                </m:e>
                <m:sub>
                  <m:r>
                    <m:rPr>
                      <m:nor/>
                    </m:rPr>
                    <m:t>kin</m:t>
                  </m:r>
                </m:sub>
              </m:sSub>
              <m:r>
                <m:t>(t)=v(</m:t>
              </m:r>
              <m:sSub>
                <m:e>
                  <m:r>
                    <m:t>t</m:t>
                  </m:r>
                </m:e>
                <m:sub>
                  <m:r>
                    <m:t>0</m:t>
                  </m:r>
                </m:sub>
              </m:sSub>
              <m:r>
                <m:t>)+</m:t>
              </m:r>
              <m:nary>
                <m:naryPr>
                  <m:chr m:val="∫"/>
                  <m:limLoc m:val="subSup"/>
                  <m:grow m:val="1"/>
                  <m:subHide m:val="off"/>
                  <m:supHide m:val="off"/>
                </m:naryPr>
                <m:sub>
                  <m:sSub>
                    <m:e>
                      <m:r>
                        <m:t>t</m:t>
                      </m:r>
                    </m:e>
                    <m:sub>
                      <m:r>
                        <m:t>0</m:t>
                      </m:r>
                    </m:sub>
                  </m:sSub>
                </m:sub>
                <m:sup>
                  <m:r>
                    <m:t>t</m:t>
                  </m:r>
                </m:sup>
                <m:e>
                  <m:sSub>
                    <m:e>
                      <m:r>
                        <m:t>a</m:t>
                      </m:r>
                    </m:e>
                    <m:sub>
                      <m:r>
                        <m:rPr>
                          <m:nor/>
                        </m:rPr>
                        <m:t>lon</m:t>
                      </m:r>
                    </m:sub>
                  </m:sSub>
                </m:e>
              </m:nary>
              <m:r>
                <m:t>(τ)dτ</m:t>
              </m:r>
            </m:oMath>
          </w:p>
        </w:tc>
        <w:tc>
          <w:tcPr>
            <w:tcW w:type="dxa" w:w="1152"/>
            <w:tcMar>
              <w:top w:w="0" w:type="dxa"/>
              <w:bottom w:w="0" w:type="dxa"/>
              <w:left w:w="0" w:type="dxa"/>
              <w:right w:w="0" w:type="dxa"/>
            </w:tcMar>
            <w:tcBorders>
              <w:top w:val="none"/>
              <w:left w:val="none"/>
              <w:bottom w:val="none"/>
              <w:right w:val="none"/>
            </w:tcBorders>
          </w:tcPr>
          <w:p>
            <w:pPr>
              <w:spacing w:line="240" w:lineRule="auto" w:before="0" w:after="0"/>
              <w:jc w:val="right"/>
            </w:pPr>
            <w:r>
              <w:rPr>
                <w:rFonts w:ascii="Times New Roman" w:hAnsi="Times New Roman"/>
                <w:sz w:val="24"/>
              </w:rPr>
              <w:t>(9)</w:t>
            </w:r>
          </w:p>
        </w:tc>
      </w:tr>
    </w:tbl>
    <w:p>
      <w:pPr>
        <w:spacing w:before="0" w:after="0" w:line="240" w:lineRule="auto"/>
        <w:ind w:firstLine="0"/>
        <w:jc w:val="both"/>
      </w:pPr>
      <w:r>
        <w:rPr>
          <w:rFonts w:ascii="Times New Roman" w:hAnsi="Times New Roman"/>
          <w:color w:val="000000"/>
          <w:sz w:val="24"/>
        </w:rPr>
        <w:t xml:space="preserve">with velocity damping applied during steady-state cruise: </w:t>
      </w:r>
      <m:oMath>
        <m:sSub>
          <m:e>
            <m:limUpp>
              <m:e>
                <m:r>
                  <m:t>v</m:t>
                </m:r>
              </m:e>
              <m:lim>
                <m:r>
                  <m:t>˙</m:t>
                </m:r>
              </m:lim>
            </m:limUpp>
          </m:e>
          <m:sub>
            <m:r>
              <m:rPr>
                <m:nor/>
              </m:rPr>
              <m:t>kin</m:t>
            </m:r>
          </m:sub>
        </m:sSub>
        <m:r>
          <m:t>=</m:t>
        </m:r>
        <m:sSub>
          <m:e>
            <m:r>
              <m:t>a</m:t>
            </m:r>
          </m:e>
          <m:sub>
            <m:r>
              <m:rPr>
                <m:nor/>
              </m:rPr>
              <m:t>lon</m:t>
            </m:r>
          </m:sub>
        </m:sSub>
        <m:r>
          <m:t>−γ</m:t>
        </m:r>
        <m:sSub>
          <m:e>
            <m:r>
              <m:t>v</m:t>
            </m:r>
          </m:e>
          <m:sub>
            <m:r>
              <m:rPr>
                <m:nor/>
              </m:rPr>
              <m:t>kin</m:t>
            </m:r>
          </m:sub>
        </m:sSub>
      </m:oMath>
      <w:r>
        <w:rPr>
          <w:rFonts w:ascii="Times New Roman" w:hAnsi="Times New Roman"/>
          <w:color w:val="000000"/>
          <w:sz w:val="24"/>
        </w:rPr>
        <w:t xml:space="preserve">, where </w:t>
      </w:r>
      <m:oMath>
        <m:r>
          <m:t>γ=0.015</m:t>
        </m:r>
        <m:sSup>
          <m:e>
            <m:r>
              <m:rPr>
                <m:nor/>
              </m:rPr>
              <m:t> s</m:t>
            </m:r>
          </m:e>
          <m:sup>
            <m:r>
              <m:t>−1</m:t>
            </m:r>
          </m:sup>
        </m:sSup>
      </m:oMath>
      <w:r>
        <w:rPr>
          <w:rFonts w:ascii="Times New Roman" w:hAnsi="Times New Roman"/>
          <w:color w:val="000000"/>
          <w:sz w:val="24"/>
        </w:rPr>
        <w:t>.</w:t>
      </w:r>
    </w:p>
    <w:p>
      <w:pPr>
        <w:spacing w:before="0" w:after="0" w:line="240" w:lineRule="auto"/>
        <w:ind w:firstLine="0"/>
        <w:jc w:val="both"/>
      </w:pPr>
      <w:r>
        <w:rPr>
          <w:rFonts w:ascii="Times New Roman" w:hAnsi="Times New Roman"/>
          <w:color w:val="000000"/>
          <w:sz w:val="24"/>
        </w:rPr>
        <w:t>3. Causal zero-velocity detector (ZVD): Standstill conditions are evaluated over a 5-epoch window (0.5 s) using acceleration variance and angular velocity norm thresholds:</w:t>
      </w:r>
    </w:p>
    <w:tbl>
      <w:tblPr>
        <w:tblW w:type="auto" w:w="0"/>
        <w:jc w:val="center"/>
        <w:tblLook w:firstColumn="1" w:firstRow="1" w:lastColumn="0" w:lastRow="0" w:noHBand="0" w:noVBand="1" w:val="04A0"/>
      </w:tblPr>
      <w:tblGrid>
        <w:gridCol w:w="4680"/>
        <w:gridCol w:w="4680"/>
      </w:tblGrid>
      <w:tr>
        <w:trPr>
          <w:cantSplit/>
        </w:trPr>
        <w:tc>
          <w:tcPr>
            <w:tcW w:type="dxa" w:w="8208"/>
            <w:tcMar>
              <w:top w:w="0" w:type="dxa"/>
              <w:bottom w:w="0" w:type="dxa"/>
              <w:left w:w="0" w:type="dxa"/>
              <w:right w:w="0" w:type="dxa"/>
            </w:tcMar>
            <w:tcBorders>
              <w:top w:val="none"/>
              <w:left w:val="none"/>
              <w:bottom w:val="none"/>
              <w:right w:val="none"/>
            </w:tcBorders>
          </w:tcPr>
          <w:p>
            <w:pPr>
              <w:spacing w:line="240" w:lineRule="auto" w:before="0" w:after="0"/>
              <w:jc w:val="center"/>
            </w:pPr>
            <m:oMath>
              <m:sSubSup>
                <m:e>
                  <m:r>
                    <m:t>σ</m:t>
                  </m:r>
                </m:e>
                <m:sub>
                  <m:r>
                    <m:t>a</m:t>
                  </m:r>
                </m:sub>
                <m:sup>
                  <m:r>
                    <m:t>2</m:t>
                  </m:r>
                </m:sup>
              </m:sSubSup>
              <m:r>
                <m:t>=</m:t>
              </m:r>
              <m:f>
                <m:fPr>
                  <m:type m:val="bar"/>
                </m:fPr>
                <m:num>
                  <m:r>
                    <m:t>1</m:t>
                  </m:r>
                </m:num>
                <m:den>
                  <m:r>
                    <m:t>W</m:t>
                  </m:r>
                </m:den>
              </m:f>
              <m:nary>
                <m:naryPr>
                  <m:chr m:val="∑"/>
                  <m:limLoc m:val="subSup"/>
                  <m:grow m:val="1"/>
                  <m:subHide m:val="off"/>
                  <m:supHide m:val="off"/>
                </m:naryPr>
                <m:sub>
                  <m:r>
                    <m:t>i=0</m:t>
                  </m:r>
                </m:sub>
                <m:sup>
                  <m:r>
                    <m:t>W−1</m:t>
                  </m:r>
                </m:sup>
                <m:e>
                  <m:r>
                    <m:t>‖</m:t>
                  </m:r>
                </m:e>
              </m:nary>
              <m:sSubSup>
                <m:e>
                  <m:r>
                    <m:t>𝐟</m:t>
                  </m:r>
                </m:e>
                <m:sub>
                  <m:r>
                    <m:t>k−i</m:t>
                  </m:r>
                </m:sub>
                <m:sup>
                  <m:r>
                    <m:t>b</m:t>
                  </m:r>
                </m:sup>
              </m:sSubSup>
              <m:r>
                <m:t>−</m:t>
              </m:r>
              <m:bar>
                <m:barPr>
                  <m:pos m:val="top"/>
                </m:barPr>
                <m:e>
                  <m:r>
                    <m:t>𝐟</m:t>
                  </m:r>
                </m:e>
              </m:bar>
              <m:sSup>
                <m:e>
                  <m:r>
                    <m:t>‖</m:t>
                  </m:r>
                </m:e>
                <m:sup>
                  <m:r>
                    <m:t>2</m:t>
                  </m:r>
                </m:sup>
              </m:sSup>
              <m:r>
                <m:t>&lt;</m:t>
              </m:r>
              <m:sSub>
                <m:e>
                  <m:r>
                    <m:t>γ</m:t>
                  </m:r>
                </m:e>
                <m:sub>
                  <m:r>
                    <m:t>a</m:t>
                  </m:r>
                </m:sub>
              </m:sSub>
              <m:r>
                <m:t>,</m:t>
              </m:r>
              <m:r>
                <m:t>‖</m:t>
              </m:r>
              <m:sSubSup>
                <m:e>
                  <m:r>
                    <m:rPr>
                      <m:sty m:val="bi"/>
                    </m:rPr>
                    <m:t>ω</m:t>
                  </m:r>
                </m:e>
                <m:sub>
                  <m:r>
                    <m:t>k</m:t>
                  </m:r>
                </m:sub>
                <m:sup>
                  <m:r>
                    <m:t>b</m:t>
                  </m:r>
                </m:sup>
              </m:sSubSup>
              <m:r>
                <m:t>‖&lt;</m:t>
              </m:r>
              <m:sSub>
                <m:e>
                  <m:r>
                    <m:t>γ</m:t>
                  </m:r>
                </m:e>
                <m:sub>
                  <m:r>
                    <m:t>ω</m:t>
                  </m:r>
                </m:sub>
              </m:sSub>
            </m:oMath>
          </w:p>
        </w:tc>
        <w:tc>
          <w:tcPr>
            <w:tcW w:type="dxa" w:w="1152"/>
            <w:tcMar>
              <w:top w:w="0" w:type="dxa"/>
              <w:bottom w:w="0" w:type="dxa"/>
              <w:left w:w="0" w:type="dxa"/>
              <w:right w:w="0" w:type="dxa"/>
            </w:tcMar>
            <w:tcBorders>
              <w:top w:val="none"/>
              <w:left w:val="none"/>
              <w:bottom w:val="none"/>
              <w:right w:val="none"/>
            </w:tcBorders>
          </w:tcPr>
          <w:p>
            <w:pPr>
              <w:spacing w:line="240" w:lineRule="auto" w:before="0" w:after="0"/>
              <w:jc w:val="right"/>
            </w:pPr>
            <w:r>
              <w:rPr>
                <w:rFonts w:ascii="Times New Roman" w:hAnsi="Times New Roman"/>
                <w:sz w:val="24"/>
              </w:rPr>
              <w:t>(10)</w:t>
            </w:r>
          </w:p>
        </w:tc>
      </w:tr>
    </w:tbl>
    <w:p>
      <w:pPr>
        <w:spacing w:before="0" w:after="0" w:line="240" w:lineRule="auto"/>
        <w:ind w:firstLine="0"/>
        <w:jc w:val="both"/>
      </w:pPr>
      <w:r>
        <w:rPr>
          <w:rFonts w:ascii="Times New Roman" w:hAnsi="Times New Roman"/>
          <w:color w:val="000000"/>
          <w:sz w:val="24"/>
        </w:rPr>
        <w:t xml:space="preserve">When triggered, zero velocity updates (ZUPT, </w:t>
      </w:r>
      <m:oMath>
        <m:r>
          <m:t>𝐳=</m:t>
        </m:r>
        <m:r>
          <m:rPr>
            <m:sty m:val="b"/>
          </m:rPr>
          <m:t>0</m:t>
        </m:r>
      </m:oMath>
      <w:r>
        <w:rPr>
          <w:rFonts w:ascii="Times New Roman" w:hAnsi="Times New Roman"/>
          <w:color w:val="000000"/>
          <w:sz w:val="24"/>
        </w:rPr>
        <w:t>) and zero angular rate updates (ZARU) clamp filter velocity and estimate IMU bias.</w:t>
      </w:r>
    </w:p>
    <w:p>
      <w:pPr>
        <w:spacing w:before="0" w:after="0" w:line="240" w:lineRule="auto"/>
        <w:ind w:firstLine="0"/>
        <w:jc w:val="both"/>
      </w:pPr>
      <w:r>
        <w:rPr>
          <w:rFonts w:ascii="Times New Roman" w:hAnsi="Times New Roman"/>
          <w:color w:val="000000"/>
          <w:sz w:val="24"/>
        </w:rPr>
        <w:t xml:space="preserve">Adaptive regime blending modulates forward velocity </w:t>
      </w:r>
      <m:oMath>
        <m:sSub>
          <m:e>
            <m:acc>
              <m:accPr>
                <m:chr m:val="̂"/>
              </m:accPr>
              <m:e>
                <m:r>
                  <m:t>v</m:t>
                </m:r>
              </m:e>
            </m:acc>
          </m:e>
          <m:sub>
            <m:r>
              <m:rPr>
                <m:nor/>
              </m:rPr>
              <m:t>blend</m:t>
            </m:r>
          </m:sub>
        </m:sSub>
      </m:oMath>
      <w:r>
        <w:rPr>
          <w:rFonts w:ascii="Times New Roman" w:hAnsi="Times New Roman"/>
          <w:color w:val="000000"/>
          <w:sz w:val="24"/>
        </w:rPr>
        <w:t xml:space="preserve"> between neural and kinematic branches based on real-time dynamics:</w:t>
      </w:r>
    </w:p>
    <w:tbl>
      <w:tblPr>
        <w:tblW w:type="auto" w:w="0"/>
        <w:jc w:val="center"/>
        <w:tblLook w:firstColumn="1" w:firstRow="1" w:lastColumn="0" w:lastRow="0" w:noHBand="0" w:noVBand="1" w:val="04A0"/>
      </w:tblPr>
      <w:tblGrid>
        <w:gridCol w:w="4680"/>
        <w:gridCol w:w="4680"/>
      </w:tblGrid>
      <w:tr>
        <w:trPr>
          <w:cantSplit/>
        </w:trPr>
        <w:tc>
          <w:tcPr>
            <w:tcW w:type="dxa" w:w="8208"/>
            <w:tcMar>
              <w:top w:w="0" w:type="dxa"/>
              <w:bottom w:w="0" w:type="dxa"/>
              <w:left w:w="0" w:type="dxa"/>
              <w:right w:w="0" w:type="dxa"/>
            </w:tcMar>
            <w:tcBorders>
              <w:top w:val="none"/>
              <w:left w:val="none"/>
              <w:bottom w:val="none"/>
              <w:right w:val="none"/>
            </w:tcBorders>
          </w:tcPr>
          <w:p>
            <w:pPr>
              <w:spacing w:line="240" w:lineRule="auto" w:before="0" w:after="0"/>
              <w:jc w:val="center"/>
            </w:pPr>
            <m:oMath>
              <m:sSub>
                <m:e>
                  <m:acc>
                    <m:accPr>
                      <m:chr m:val="̂"/>
                    </m:accPr>
                    <m:e>
                      <m:r>
                        <m:t>v</m:t>
                      </m:r>
                    </m:e>
                  </m:acc>
                </m:e>
                <m:sub>
                  <m:r>
                    <m:rPr>
                      <m:nor/>
                    </m:rPr>
                    <m:t>blend</m:t>
                  </m:r>
                </m:sub>
              </m:sSub>
              <m:r>
                <m:t>=</m:t>
              </m:r>
              <m:sSub>
                <m:e>
                  <m:r>
                    <m:t>α</m:t>
                  </m:r>
                </m:e>
                <m:sub>
                  <m:r>
                    <m:t>k</m:t>
                  </m:r>
                </m:sub>
              </m:sSub>
              <m:sSub>
                <m:e>
                  <m:acc>
                    <m:accPr>
                      <m:chr m:val="̂"/>
                    </m:accPr>
                    <m:e>
                      <m:r>
                        <m:t>v</m:t>
                      </m:r>
                    </m:e>
                  </m:acc>
                </m:e>
                <m:sub>
                  <m:r>
                    <m:rPr>
                      <m:nor/>
                    </m:rPr>
                    <m:t>TCN</m:t>
                  </m:r>
                </m:sub>
              </m:sSub>
              <m:r>
                <m:t>+(1−</m:t>
              </m:r>
              <m:sSub>
                <m:e>
                  <m:r>
                    <m:t>α</m:t>
                  </m:r>
                </m:e>
                <m:sub>
                  <m:r>
                    <m:t>k</m:t>
                  </m:r>
                </m:sub>
              </m:sSub>
              <m:r>
                <m:t>)</m:t>
              </m:r>
              <m:sSub>
                <m:e>
                  <m:r>
                    <m:t>v</m:t>
                  </m:r>
                </m:e>
                <m:sub>
                  <m:r>
                    <m:rPr>
                      <m:nor/>
                    </m:rPr>
                    <m:t>kin</m:t>
                  </m:r>
                </m:sub>
              </m:sSub>
            </m:oMath>
          </w:p>
        </w:tc>
        <w:tc>
          <w:tcPr>
            <w:tcW w:type="dxa" w:w="1152"/>
            <w:tcMar>
              <w:top w:w="0" w:type="dxa"/>
              <w:bottom w:w="0" w:type="dxa"/>
              <w:left w:w="0" w:type="dxa"/>
              <w:right w:w="0" w:type="dxa"/>
            </w:tcMar>
            <w:tcBorders>
              <w:top w:val="none"/>
              <w:left w:val="none"/>
              <w:bottom w:val="none"/>
              <w:right w:val="none"/>
            </w:tcBorders>
          </w:tcPr>
          <w:p>
            <w:pPr>
              <w:spacing w:line="240" w:lineRule="auto" w:before="0" w:after="0"/>
              <w:jc w:val="right"/>
            </w:pPr>
            <w:r>
              <w:rPr>
                <w:rFonts w:ascii="Times New Roman" w:hAnsi="Times New Roman"/>
                <w:sz w:val="24"/>
              </w:rPr>
              <w:t>(11)</w:t>
            </w:r>
          </w:p>
        </w:tc>
      </w:tr>
    </w:tbl>
    <w:p>
      <w:pPr>
        <w:spacing w:before="0" w:after="0" w:line="240" w:lineRule="auto"/>
        <w:ind w:firstLine="0"/>
        <w:jc w:val="both"/>
      </w:pPr>
      <w:r>
        <w:rPr>
          <w:rFonts w:ascii="Times New Roman" w:hAnsi="Times New Roman"/>
          <w:color w:val="000000"/>
          <w:sz w:val="24"/>
        </w:rPr>
        <w:t xml:space="preserve">where weight </w:t>
      </w:r>
      <m:oMath>
        <m:sSub>
          <m:e>
            <m:r>
              <m:t>α</m:t>
            </m:r>
          </m:e>
          <m:sub>
            <m:r>
              <m:t>k</m:t>
            </m:r>
          </m:sub>
        </m:sSub>
        <m:r>
          <m:t>∈[0.1,0.9]</m:t>
        </m:r>
      </m:oMath>
      <w:r>
        <w:rPr>
          <w:rFonts w:ascii="Times New Roman" w:hAnsi="Times New Roman"/>
          <w:color w:val="000000"/>
          <w:sz w:val="24"/>
        </w:rPr>
        <w:t xml:space="preserve"> is dynamically scheduled: during dynamic manoeuvres (</w:t>
      </w:r>
      <m:oMath>
        <m:r>
          <m:t>|</m:t>
        </m:r>
        <m:sSub>
          <m:e>
            <m:r>
              <m:t>a</m:t>
            </m:r>
          </m:e>
          <m:sub>
            <m:r>
              <m:rPr>
                <m:nor/>
              </m:rPr>
              <m:t>lon</m:t>
            </m:r>
          </m:sub>
        </m:sSub>
        <m:r>
          <m:t>|&gt;0.5</m:t>
        </m:r>
        <m:sSup>
          <m:e>
            <m:r>
              <m:rPr>
                <m:nor/>
              </m:rPr>
              <m:t> m/s</m:t>
            </m:r>
          </m:e>
          <m:sup>
            <m:r>
              <m:t>2</m:t>
            </m:r>
          </m:sup>
        </m:sSup>
      </m:oMath>
      <w:r>
        <w:rPr>
          <w:rFonts w:ascii="Times New Roman" w:hAnsi="Times New Roman"/>
          <w:color w:val="000000"/>
          <w:sz w:val="24"/>
        </w:rPr>
        <w:t xml:space="preserve"> or </w:t>
      </w:r>
      <m:oMath>
        <m:r>
          <m:t>|</m:t>
        </m:r>
        <m:sSub>
          <m:e>
            <m:r>
              <m:t>ω</m:t>
            </m:r>
          </m:e>
          <m:sub>
            <m:r>
              <m:t>z</m:t>
            </m:r>
          </m:sub>
        </m:sSub>
        <m:r>
          <m:t>|&gt;0.15</m:t>
        </m:r>
        <m:r>
          <m:rPr>
            <m:nor/>
          </m:rPr>
          <m:t> rad/s</m:t>
        </m:r>
      </m:oMath>
      <w:r>
        <w:rPr>
          <w:rFonts w:ascii="Times New Roman" w:hAnsi="Times New Roman"/>
          <w:color w:val="000000"/>
          <w:sz w:val="24"/>
        </w:rPr>
        <w:t xml:space="preserve">), </w:t>
      </w:r>
      <m:oMath>
        <m:sSub>
          <m:e>
            <m:r>
              <m:t>α</m:t>
            </m:r>
          </m:e>
          <m:sub>
            <m:r>
              <m:t>k</m:t>
            </m:r>
          </m:sub>
        </m:sSub>
        <m:r>
          <m:t>→0.85</m:t>
        </m:r>
      </m:oMath>
      <w:r>
        <w:rPr>
          <w:rFonts w:ascii="Times New Roman" w:hAnsi="Times New Roman"/>
          <w:color w:val="000000"/>
          <w:sz w:val="24"/>
        </w:rPr>
        <w:t xml:space="preserve"> favoring neural speed estimation; during unaccelerated highway cruise (</w:t>
      </w:r>
      <m:oMath>
        <m:r>
          <m:t>|</m:t>
        </m:r>
        <m:sSub>
          <m:e>
            <m:r>
              <m:t>a</m:t>
            </m:r>
          </m:e>
          <m:sub>
            <m:r>
              <m:rPr>
                <m:nor/>
              </m:rPr>
              <m:t>lon</m:t>
            </m:r>
          </m:sub>
        </m:sSub>
        <m:r>
          <m:t>|&lt;0.1</m:t>
        </m:r>
        <m:sSup>
          <m:e>
            <m:r>
              <m:rPr>
                <m:nor/>
              </m:rPr>
              <m:t> m/s</m:t>
            </m:r>
          </m:e>
          <m:sup>
            <m:r>
              <m:t>2</m:t>
            </m:r>
          </m:sup>
        </m:sSup>
      </m:oMath>
      <w:r>
        <w:rPr>
          <w:rFonts w:ascii="Times New Roman" w:hAnsi="Times New Roman"/>
          <w:color w:val="000000"/>
          <w:sz w:val="24"/>
        </w:rPr>
        <w:t xml:space="preserve"> at high speeds), </w:t>
      </w:r>
      <m:oMath>
        <m:sSub>
          <m:e>
            <m:r>
              <m:t>α</m:t>
            </m:r>
          </m:e>
          <m:sub>
            <m:r>
              <m:t>k</m:t>
            </m:r>
          </m:sub>
        </m:sSub>
        <m:r>
          <m:t>→0.20</m:t>
        </m:r>
      </m:oMath>
      <w:r>
        <w:rPr>
          <w:rFonts w:ascii="Times New Roman" w:hAnsi="Times New Roman"/>
          <w:color w:val="000000"/>
          <w:sz w:val="24"/>
        </w:rPr>
        <w:t xml:space="preserve"> prioritizing kinematic momentum.</w:t>
      </w:r>
    </w:p>
    <w:p>
      <w:pPr>
        <w:spacing w:before="0" w:after="0" w:line="240" w:lineRule="auto"/>
        <w:ind w:firstLine="0"/>
        <w:jc w:val="both"/>
      </w:pPr>
      <w:r>
        <w:rPr>
          <w:rFonts w:ascii="Times New Roman" w:hAnsi="Times New Roman"/>
          <w:color w:val="000000"/>
          <w:sz w:val="24"/>
        </w:rPr>
        <w:t xml:space="preserve">Lateral velocity handling: Standard non-holonomic constraints (NHC) assume zero lateral velocity in the vehicle body frame: </w:t>
      </w:r>
      <m:oMath>
        <m:sSubSup>
          <m:e>
            <m:r>
              <m:t>v</m:t>
            </m:r>
          </m:e>
          <m:sub>
            <m:r>
              <m:rPr>
                <m:nor/>
              </m:rPr>
              <m:t>lat</m:t>
            </m:r>
          </m:sub>
          <m:sup>
            <m:r>
              <m:t>b</m:t>
            </m:r>
          </m:sup>
        </m:sSubSup>
        <m:r>
          <m:t>=0</m:t>
        </m:r>
      </m:oMath>
      <w:r>
        <w:rPr>
          <w:rFonts w:ascii="Times New Roman" w:hAnsi="Times New Roman"/>
          <w:color w:val="000000"/>
          <w:sz w:val="24"/>
        </w:rPr>
        <w:t xml:space="preserve">. In our decoupled formulation, to prevent unmodelled mounting misalignment and vehicle sideslip angles from corrupting attitude states, the Kalman gain for lateral velocity innovations (along body axis </w:t>
      </w:r>
      <m:oMath>
        <m:r>
          <m:t>y</m:t>
        </m:r>
      </m:oMath>
      <w:r>
        <w:rPr>
          <w:rFonts w:ascii="Times New Roman" w:hAnsi="Times New Roman"/>
          <w:color w:val="000000"/>
          <w:sz w:val="24"/>
        </w:rPr>
        <w:t>) is restricted strictly to velocity states:</w:t>
      </w:r>
    </w:p>
    <w:tbl>
      <w:tblPr>
        <w:tblW w:type="auto" w:w="0"/>
        <w:jc w:val="center"/>
        <w:tblLook w:firstColumn="1" w:firstRow="1" w:lastColumn="0" w:lastRow="0" w:noHBand="0" w:noVBand="1" w:val="04A0"/>
      </w:tblPr>
      <w:tblGrid>
        <w:gridCol w:w="4680"/>
        <w:gridCol w:w="4680"/>
      </w:tblGrid>
      <w:tr>
        <w:trPr>
          <w:cantSplit/>
        </w:trPr>
        <w:tc>
          <w:tcPr>
            <w:tcW w:type="dxa" w:w="8208"/>
            <w:tcMar>
              <w:top w:w="0" w:type="dxa"/>
              <w:bottom w:w="0" w:type="dxa"/>
              <w:left w:w="0" w:type="dxa"/>
              <w:right w:w="0" w:type="dxa"/>
            </w:tcMar>
            <w:tcBorders>
              <w:top w:val="none"/>
              <w:left w:val="none"/>
              <w:bottom w:val="none"/>
              <w:right w:val="none"/>
            </w:tcBorders>
          </w:tcPr>
          <w:p>
            <w:pPr>
              <w:spacing w:line="240" w:lineRule="auto" w:before="0" w:after="0"/>
              <w:jc w:val="center"/>
            </w:pPr>
            <m:oMath>
              <m:sSub>
                <m:e>
                  <m:r>
                    <m:t>𝐊</m:t>
                  </m:r>
                </m:e>
                <m:sub>
                  <m:r>
                    <m:t>y</m:t>
                  </m:r>
                </m:sub>
              </m:sSub>
              <m:r>
                <m:t>=[</m:t>
              </m:r>
              <m:eqArr>
                <m:e>
                  <m:sSub>
                    <m:e>
                      <m:r>
                        <m:rPr>
                          <m:sty m:val="b"/>
                        </m:rPr>
                        <m:t>0</m:t>
                      </m:r>
                    </m:e>
                    <m:sub>
                      <m:r>
                        <m:t>3×1</m:t>
                      </m:r>
                    </m:sub>
                  </m:sSub>
                </m:e>
                <m:e>
                  <m:sSub>
                    <m:e>
                      <m:r>
                        <m:t>K</m:t>
                      </m:r>
                    </m:e>
                    <m:sub>
                      <m:r>
                        <m:t>v</m:t>
                      </m:r>
                    </m:sub>
                  </m:sSub>
                </m:e>
                <m:e>
                  <m:sSub>
                    <m:e>
                      <m:r>
                        <m:rPr>
                          <m:sty m:val="b"/>
                        </m:rPr>
                        <m:t>0</m:t>
                      </m:r>
                    </m:e>
                    <m:sub>
                      <m:r>
                        <m:t>9×1</m:t>
                      </m:r>
                    </m:sub>
                  </m:sSub>
                </m:e>
              </m:eqArr>
              <m:r>
                <m:t>]</m:t>
              </m:r>
            </m:oMath>
          </w:p>
        </w:tc>
        <w:tc>
          <w:tcPr>
            <w:tcW w:type="dxa" w:w="1152"/>
            <w:tcMar>
              <w:top w:w="0" w:type="dxa"/>
              <w:bottom w:w="0" w:type="dxa"/>
              <w:left w:w="0" w:type="dxa"/>
              <w:right w:w="0" w:type="dxa"/>
            </w:tcMar>
            <w:tcBorders>
              <w:top w:val="none"/>
              <w:left w:val="none"/>
              <w:bottom w:val="none"/>
              <w:right w:val="none"/>
            </w:tcBorders>
          </w:tcPr>
          <w:p>
            <w:pPr>
              <w:spacing w:line="240" w:lineRule="auto" w:before="0" w:after="0"/>
              <w:jc w:val="right"/>
            </w:pPr>
            <w:r>
              <w:rPr>
                <w:rFonts w:ascii="Times New Roman" w:hAnsi="Times New Roman"/>
                <w:sz w:val="24"/>
              </w:rPr>
              <w:t>(12)</w:t>
            </w:r>
          </w:p>
        </w:tc>
      </w:tr>
    </w:tbl>
    <w:p>
      <w:pPr>
        <w:spacing w:before="0" w:after="0" w:line="240" w:lineRule="auto"/>
        <w:ind w:firstLine="0"/>
        <w:jc w:val="both"/>
      </w:pPr>
      <w:r>
        <w:rPr>
          <w:rFonts w:ascii="Times New Roman" w:hAnsi="Times New Roman"/>
          <w:color w:val="000000"/>
          <w:sz w:val="24"/>
        </w:rPr>
        <w:t>setting the attitude, position, and bias cross-gain blocks to zero (</w:t>
      </w:r>
      <m:oMath>
        <m:sSub>
          <m:e>
            <m:r>
              <m:t>K</m:t>
            </m:r>
          </m:e>
          <m:sub>
            <m:r>
              <m:t>y</m:t>
            </m:r>
          </m:sub>
        </m:sSub>
        <m:r>
          <m:t>[6:15]=0</m:t>
        </m:r>
      </m:oMath>
      <w:r>
        <w:rPr>
          <w:rFonts w:ascii="Times New Roman" w:hAnsi="Times New Roman"/>
          <w:color w:val="000000"/>
          <w:sz w:val="24"/>
        </w:rPr>
        <w:t>).</w:t>
      </w:r>
    </w:p>
    <w:p>
      <w:pPr>
        <w:keepNext/>
        <w:spacing w:before="0" w:after="0" w:line="240" w:lineRule="auto"/>
        <w:jc w:val="left"/>
      </w:pPr>
      <w:r>
        <w:rPr>
          <w:rFonts w:ascii="Times New Roman" w:hAnsi="Times New Roman"/>
          <w:i/>
          <w:sz w:val="24"/>
        </w:rPr>
        <w:t>2.7. Map matching</w:t>
      </w:r>
    </w:p>
    <w:p>
      <w:pPr>
        <w:spacing w:before="0" w:after="0" w:line="240" w:lineRule="auto"/>
        <w:ind w:firstLine="0"/>
        <w:jc w:val="both"/>
      </w:pPr>
      <w:r>
        <w:rPr>
          <w:rFonts w:ascii="Times New Roman" w:hAnsi="Times New Roman"/>
          <w:color w:val="000000"/>
          <w:sz w:val="24"/>
        </w:rPr>
        <w:t xml:space="preserve">To evaluate road network aiding, an OpenStreetMap (OSM) vector engine extracts roadway centerlines within a 250-metre bounding radius. Vehicle position is projected onto candidate polyline links using a multiple-hypothesis tracker (MHT) evaluating link proximity, heading agreement, and connectivity topology. In the closed-loop evaluation mode, candidate road link azimuth </w:t>
      </w:r>
      <m:oMath>
        <m:sSub>
          <m:e>
            <m:r>
              <m:t>ψ</m:t>
            </m:r>
          </m:e>
          <m:sub>
            <m:r>
              <m:rPr>
                <m:nor/>
              </m:rPr>
              <m:t>map</m:t>
            </m:r>
          </m:sub>
        </m:sSub>
      </m:oMath>
      <w:r>
        <w:rPr>
          <w:rFonts w:ascii="Times New Roman" w:hAnsi="Times New Roman"/>
          <w:color w:val="000000"/>
          <w:sz w:val="24"/>
        </w:rPr>
        <w:t xml:space="preserve"> is fed into the filter as a heading observation: </w:t>
      </w:r>
      <m:oMath>
        <m:sSub>
          <m:e>
            <m:limUpp>
              <m:e>
                <m:r>
                  <m:t>y</m:t>
                </m:r>
              </m:e>
              <m:lim>
                <m:r>
                  <m:t>~</m:t>
                </m:r>
              </m:lim>
            </m:limUpp>
          </m:e>
          <m:sub>
            <m:r>
              <m:t>ψ</m:t>
            </m:r>
          </m:sub>
        </m:sSub>
        <m:r>
          <m:t>=</m:t>
        </m:r>
        <m:sSub>
          <m:e>
            <m:r>
              <m:t>ψ</m:t>
            </m:r>
          </m:e>
          <m:sub>
            <m:r>
              <m:rPr>
                <m:nor/>
              </m:rPr>
              <m:t>map</m:t>
            </m:r>
          </m:sub>
        </m:sSub>
        <m:r>
          <m:t>−</m:t>
        </m:r>
        <m:sSub>
          <m:e>
            <m:acc>
              <m:accPr>
                <m:chr m:val="̂"/>
              </m:accPr>
              <m:e>
                <m:r>
                  <m:t>ψ</m:t>
                </m:r>
              </m:e>
            </m:acc>
          </m:e>
          <m:sub>
            <m:r>
              <m:rPr>
                <m:nor/>
              </m:rPr>
              <m:t>filter</m:t>
            </m:r>
          </m:sub>
        </m:sSub>
      </m:oMath>
      <w:r>
        <w:rPr>
          <w:rFonts w:ascii="Times New Roman" w:hAnsi="Times New Roman"/>
          <w:color w:val="000000"/>
          <w:sz w:val="24"/>
        </w:rPr>
        <w:t>.</w:t>
      </w:r>
    </w:p>
    <w:p>
      <w:pPr>
        <w:keepNext/>
        <w:spacing w:before="0" w:after="0" w:line="240" w:lineRule="auto"/>
        <w:jc w:val="left"/>
      </w:pPr>
      <w:r>
        <w:rPr>
          <w:rFonts w:ascii="Times New Roman" w:hAnsi="Times New Roman"/>
          <w:i/>
          <w:sz w:val="24"/>
        </w:rPr>
        <w:t>2.8. Android implementation</w:t>
      </w:r>
    </w:p>
    <w:p>
      <w:pPr>
        <w:spacing w:before="0" w:after="0" w:line="240" w:lineRule="auto"/>
        <w:ind w:firstLine="0"/>
        <w:jc w:val="both"/>
      </w:pPr>
      <w:r>
        <w:rPr>
          <w:rFonts w:ascii="Times New Roman" w:hAnsi="Times New Roman"/>
          <w:color w:val="000000"/>
          <w:sz w:val="24"/>
        </w:rPr>
        <w:t>To assess operational edge viability, the navigation pipeline was ported to a native Android application (Kotlin/Java) executing on an off-the-shelf consumer smartphone (Google Pixel 7a, Android 14). Deep learning inference is executed locally using ONNX Runtime Mobile (model size 162 KB) with a single-thread CPU execution provider. The 15-state ESKF is implemented using the Efficient Java Matrix Library (EJML). Real-time telemetry callbacks from the Android SensorManager run asynchronously, tracking hardware nanosecond timestamps to handle operating system scheduling jitter.</w:t>
      </w:r>
    </w:p>
    <w:p>
      <w:pPr>
        <w:keepNext/>
        <w:spacing w:before="0" w:after="0" w:line="240" w:lineRule="auto"/>
        <w:jc w:val="left"/>
      </w:pPr>
      <w:r>
        <w:rPr>
          <w:rFonts w:ascii="Times New Roman" w:hAnsi="Times New Roman"/>
          <w:b w:val="0"/>
          <w:sz w:val="24"/>
        </w:rPr>
        <w:t>3. Experimental Protocol</w:t>
      </w:r>
    </w:p>
    <w:p>
      <w:pPr>
        <w:keepNext/>
        <w:spacing w:before="0" w:after="0" w:line="240" w:lineRule="auto"/>
        <w:jc w:val="left"/>
      </w:pPr>
      <w:r>
        <w:rPr>
          <w:rFonts w:ascii="Times New Roman" w:hAnsi="Times New Roman"/>
          <w:i/>
          <w:sz w:val="24"/>
        </w:rPr>
        <w:t>3.1. GNSS-outage evaluation</w:t>
      </w:r>
    </w:p>
    <w:p>
      <w:pPr>
        <w:spacing w:before="0" w:after="0" w:line="240" w:lineRule="auto"/>
        <w:ind w:firstLine="0"/>
        <w:jc w:val="both"/>
      </w:pPr>
      <w:r>
        <w:rPr>
          <w:rFonts w:ascii="Times New Roman" w:hAnsi="Times New Roman"/>
          <w:color w:val="000000"/>
          <w:sz w:val="24"/>
        </w:rPr>
        <w:t>The system is evaluated by simulating GNSS outages across four standardized durations: 10, 20, 30, and 60 seconds. Each blackout is injected into held-out test routes after a 10.0-second pre-outage GNSS calibration phase during which satellite positioning is available to level the filter, align heading, and estimate initial sensor biases. Once the blackout begins, all GNSS updates terminate, forcing the filter to operate strictly on smartphone IMU inputs, virtual velocity updates, and internal kinematic constraints.</w:t>
      </w:r>
    </w:p>
    <w:p>
      <w:pPr>
        <w:spacing w:before="0" w:after="0" w:line="240" w:lineRule="auto"/>
        <w:ind w:firstLine="0"/>
        <w:jc w:val="both"/>
      </w:pPr>
      <w:r>
        <w:rPr>
          <w:rFonts w:ascii="Times New Roman" w:hAnsi="Times New Roman"/>
          <w:color w:val="000000"/>
          <w:sz w:val="24"/>
        </w:rPr>
        <w:t>Trips with durations shorter than 70.0 seconds are excluded from the 60-second evaluation set because they cannot accommodate the 10-second calibration plus the 60-second blackout duration. Across the 19 held-out test trips, 18 trips are usable at 10 s, 17 trips at 20 s, 16 trips at 30 s, and 13 trips at 60 s.</w:t>
      </w:r>
    </w:p>
    <w:p>
      <w:pPr>
        <w:keepNext/>
        <w:spacing w:before="0" w:after="0" w:line="240" w:lineRule="auto"/>
        <w:jc w:val="left"/>
      </w:pPr>
      <w:r>
        <w:rPr>
          <w:rFonts w:ascii="Times New Roman" w:hAnsi="Times New Roman"/>
          <w:i/>
          <w:sz w:val="24"/>
        </w:rPr>
        <w:t>3.2. Baselines</w:t>
      </w:r>
    </w:p>
    <w:p>
      <w:pPr>
        <w:spacing w:before="0" w:after="0" w:line="240" w:lineRule="auto"/>
        <w:ind w:firstLine="0"/>
        <w:jc w:val="both"/>
      </w:pPr>
      <w:r>
        <w:rPr>
          <w:rFonts w:ascii="Times New Roman" w:hAnsi="Times New Roman"/>
          <w:color w:val="000000"/>
          <w:sz w:val="24"/>
        </w:rPr>
        <w:t>The system is evaluated against three baseline architectures:</w:t>
      </w:r>
    </w:p>
    <w:p>
      <w:pPr>
        <w:spacing w:before="0" w:after="0" w:line="240" w:lineRule="auto"/>
        <w:ind w:firstLine="0"/>
        <w:jc w:val="both"/>
      </w:pPr>
      <w:r>
        <w:rPr>
          <w:rFonts w:ascii="Times New Roman" w:hAnsi="Times New Roman"/>
          <w:color w:val="000000"/>
          <w:sz w:val="24"/>
        </w:rPr>
        <w:t>1. Pure strapdown kinematics: Open-loop double integration of linear acceleration and gyroscope rates without external velocity aiding or ZVD clamping.</w:t>
      </w:r>
    </w:p>
    <w:p>
      <w:pPr>
        <w:spacing w:before="0" w:after="0" w:line="240" w:lineRule="auto"/>
        <w:ind w:firstLine="0"/>
        <w:jc w:val="both"/>
      </w:pPr>
      <w:r>
        <w:rPr>
          <w:rFonts w:ascii="Times New Roman" w:hAnsi="Times New Roman"/>
          <w:color w:val="000000"/>
          <w:sz w:val="24"/>
        </w:rPr>
        <w:t>2. Static TCN-kin: Causal TCN velocity estimation with static ESKF integration without dynamic momentum blending.</w:t>
      </w:r>
    </w:p>
    <w:p>
      <w:pPr>
        <w:spacing w:before="0" w:after="0" w:line="240" w:lineRule="auto"/>
        <w:ind w:firstLine="0"/>
        <w:jc w:val="both"/>
      </w:pPr>
      <w:r>
        <w:rPr>
          <w:rFonts w:ascii="Times New Roman" w:hAnsi="Times New Roman"/>
          <w:color w:val="000000"/>
          <w:sz w:val="24"/>
        </w:rPr>
        <w:t>3. Fixed damped momentum: Forward kinematic acceleration integration with fixed exponential velocity damping (</w:t>
      </w:r>
      <m:oMath>
        <m:r>
          <m:t>γ=0.015</m:t>
        </m:r>
        <m:sSup>
          <m:e>
            <m:r>
              <m:rPr>
                <m:nor/>
              </m:rPr>
              <m:t> s</m:t>
            </m:r>
          </m:e>
          <m:sup>
            <m:r>
              <m:t>−1</m:t>
            </m:r>
          </m:sup>
        </m:sSup>
      </m:oMath>
      <w:r>
        <w:rPr>
          <w:rFonts w:ascii="Times New Roman" w:hAnsi="Times New Roman"/>
          <w:color w:val="000000"/>
          <w:sz w:val="24"/>
        </w:rPr>
        <w:t>).</w:t>
      </w:r>
    </w:p>
    <w:p>
      <w:pPr>
        <w:keepNext/>
        <w:spacing w:before="0" w:after="0" w:line="240" w:lineRule="auto"/>
        <w:jc w:val="left"/>
      </w:pPr>
      <w:r>
        <w:rPr>
          <w:rFonts w:ascii="Times New Roman" w:hAnsi="Times New Roman"/>
          <w:i/>
          <w:sz w:val="24"/>
        </w:rPr>
        <w:t>3.3. Metrics</w:t>
      </w:r>
    </w:p>
    <w:p>
      <w:pPr>
        <w:spacing w:before="0" w:after="0" w:line="240" w:lineRule="auto"/>
        <w:ind w:firstLine="0"/>
        <w:jc w:val="both"/>
      </w:pPr>
      <w:r>
        <w:rPr>
          <w:rFonts w:ascii="Times New Roman" w:hAnsi="Times New Roman"/>
          <w:color w:val="000000"/>
          <w:sz w:val="24"/>
        </w:rPr>
        <w:t>Dead reckoning performance is quantified using four primary metrics:</w:t>
      </w:r>
    </w:p>
    <w:p>
      <w:pPr>
        <w:spacing w:before="0" w:after="0" w:line="240" w:lineRule="auto"/>
        <w:ind w:firstLine="0"/>
        <w:jc w:val="both"/>
      </w:pPr>
      <w:r>
        <w:rPr>
          <w:rFonts w:ascii="Times New Roman" w:hAnsi="Times New Roman"/>
          <w:color w:val="000000"/>
          <w:sz w:val="24"/>
        </w:rPr>
        <w:t>1. Absolute horizontal position drift (</w:t>
      </w:r>
      <m:oMath>
        <m:sSub>
          <m:e>
            <m:r>
              <m:t>E</m:t>
            </m:r>
          </m:e>
          <m:sub>
            <m:r>
              <m:t>p</m:t>
            </m:r>
          </m:sub>
        </m:sSub>
      </m:oMath>
      <w:r>
        <w:rPr>
          <w:rFonts w:ascii="Times New Roman" w:hAnsi="Times New Roman"/>
          <w:color w:val="000000"/>
          <w:sz w:val="24"/>
        </w:rPr>
        <w:t xml:space="preserve">): Euclidean distance between estimated horizontal position </w:t>
      </w:r>
      <m:oMath>
        <m:sSubSup>
          <m:e>
            <m:acc>
              <m:accPr>
                <m:chr m:val="̂"/>
              </m:accPr>
              <m:e>
                <m:r>
                  <m:t>𝐩</m:t>
                </m:r>
              </m:e>
            </m:acc>
          </m:e>
          <m:sub>
            <m:r>
              <m:t>2</m:t>
            </m:r>
            <m:r>
              <m:rPr>
                <m:nor/>
              </m:rPr>
              <m:t>D</m:t>
            </m:r>
          </m:sub>
          <m:sup>
            <m:r>
              <m:t>n</m:t>
            </m:r>
          </m:sup>
        </m:sSubSup>
      </m:oMath>
      <w:r>
        <w:rPr>
          <w:rFonts w:ascii="Times New Roman" w:hAnsi="Times New Roman"/>
          <w:color w:val="000000"/>
          <w:sz w:val="24"/>
        </w:rPr>
        <w:t xml:space="preserve"> and reference position </w:t>
      </w:r>
      <m:oMath>
        <m:sSubSup>
          <m:e>
            <m:r>
              <m:t>𝐩</m:t>
            </m:r>
          </m:e>
          <m:sub>
            <m:r>
              <m:rPr>
                <m:nor/>
              </m:rPr>
              <m:t>ref</m:t>
            </m:r>
            <m:r>
              <m:t>,2</m:t>
            </m:r>
            <m:r>
              <m:rPr>
                <m:nor/>
              </m:rPr>
              <m:t>D</m:t>
            </m:r>
          </m:sub>
          <m:sup>
            <m:r>
              <m:t>n</m:t>
            </m:r>
          </m:sup>
        </m:sSubSup>
      </m:oMath>
      <w:r>
        <w:rPr>
          <w:rFonts w:ascii="Times New Roman" w:hAnsi="Times New Roman"/>
          <w:color w:val="000000"/>
          <w:sz w:val="24"/>
        </w:rPr>
        <w:t xml:space="preserve"> at outage termination </w:t>
      </w:r>
      <m:oMath>
        <m:r>
          <m:t>T</m:t>
        </m:r>
      </m:oMath>
      <w:r>
        <w:rPr>
          <w:rFonts w:ascii="Times New Roman" w:hAnsi="Times New Roman"/>
          <w:color w:val="000000"/>
          <w:sz w:val="24"/>
        </w:rPr>
        <w:t xml:space="preserve">: </w:t>
      </w:r>
      <m:oMath>
        <m:sSub>
          <m:e>
            <m:r>
              <m:t>E</m:t>
            </m:r>
          </m:e>
          <m:sub>
            <m:r>
              <m:t>p</m:t>
            </m:r>
          </m:sub>
        </m:sSub>
        <m:r>
          <m:t>(T)=‖</m:t>
        </m:r>
        <m:sSubSup>
          <m:e>
            <m:acc>
              <m:accPr>
                <m:chr m:val="̂"/>
              </m:accPr>
              <m:e>
                <m:r>
                  <m:t>𝐩</m:t>
                </m:r>
              </m:e>
            </m:acc>
          </m:e>
          <m:sub>
            <m:r>
              <m:t>2</m:t>
            </m:r>
            <m:r>
              <m:rPr>
                <m:nor/>
              </m:rPr>
              <m:t>D</m:t>
            </m:r>
          </m:sub>
          <m:sup>
            <m:r>
              <m:t>n</m:t>
            </m:r>
          </m:sup>
        </m:sSubSup>
        <m:r>
          <m:t>(T)−</m:t>
        </m:r>
        <m:sSubSup>
          <m:e>
            <m:r>
              <m:t>𝐩</m:t>
            </m:r>
          </m:e>
          <m:sub>
            <m:r>
              <m:rPr>
                <m:nor/>
              </m:rPr>
              <m:t>ref</m:t>
            </m:r>
            <m:r>
              <m:t>,2</m:t>
            </m:r>
            <m:r>
              <m:rPr>
                <m:nor/>
              </m:rPr>
              <m:t>D</m:t>
            </m:r>
          </m:sub>
          <m:sup>
            <m:r>
              <m:t>n</m:t>
            </m:r>
          </m:sup>
        </m:sSubSup>
        <m:r>
          <m:t>(T)</m:t>
        </m:r>
        <m:sSub>
          <m:e>
            <m:r>
              <m:t>‖</m:t>
            </m:r>
          </m:e>
          <m:sub>
            <m:r>
              <m:t>2</m:t>
            </m:r>
          </m:sub>
        </m:sSub>
      </m:oMath>
      <w:r>
        <w:rPr>
          <w:rFonts w:ascii="Times New Roman" w:hAnsi="Times New Roman"/>
          <w:color w:val="000000"/>
          <w:sz w:val="24"/>
        </w:rPr>
        <w:t>.</w:t>
      </w:r>
    </w:p>
    <w:p>
      <w:pPr>
        <w:spacing w:before="0" w:after="0" w:line="240" w:lineRule="auto"/>
        <w:ind w:firstLine="0"/>
        <w:jc w:val="both"/>
      </w:pPr>
      <w:r>
        <w:rPr>
          <w:rFonts w:ascii="Times New Roman" w:hAnsi="Times New Roman"/>
          <w:color w:val="000000"/>
          <w:sz w:val="24"/>
        </w:rPr>
        <w:t>2. Macro-average normalized drift (</w:t>
      </w:r>
      <m:oMath>
        <m:sSub>
          <m:e>
            <m:bar>
              <m:barPr>
                <m:pos m:val="top"/>
              </m:barPr>
              <m:e>
                <m:r>
                  <m:t>D</m:t>
                </m:r>
              </m:e>
            </m:bar>
          </m:e>
          <m:sub>
            <m:r>
              <m:t>%</m:t>
            </m:r>
          </m:sub>
        </m:sSub>
      </m:oMath>
      <w:r>
        <w:rPr>
          <w:rFonts w:ascii="Times New Roman" w:hAnsi="Times New Roman"/>
          <w:color w:val="000000"/>
          <w:sz w:val="24"/>
        </w:rPr>
        <w:t xml:space="preserve">): Position drift expressed as a percentage of total reference distance traveled </w:t>
      </w:r>
      <m:oMath>
        <m:r>
          <m:t>S(T)</m:t>
        </m:r>
      </m:oMath>
      <w:r>
        <w:rPr>
          <w:rFonts w:ascii="Times New Roman" w:hAnsi="Times New Roman"/>
          <w:color w:val="000000"/>
          <w:sz w:val="24"/>
        </w:rPr>
        <w:t xml:space="preserve"> during the blackout, averaged with equal weight across dynamic driving routes:</w:t>
      </w:r>
    </w:p>
    <w:tbl>
      <w:tblPr>
        <w:tblW w:type="auto" w:w="0"/>
        <w:jc w:val="center"/>
        <w:tblLook w:firstColumn="1" w:firstRow="1" w:lastColumn="0" w:lastRow="0" w:noHBand="0" w:noVBand="1" w:val="04A0"/>
      </w:tblPr>
      <w:tblGrid>
        <w:gridCol w:w="4680"/>
        <w:gridCol w:w="4680"/>
      </w:tblGrid>
      <w:tr>
        <w:trPr>
          <w:cantSplit/>
        </w:trPr>
        <w:tc>
          <w:tcPr>
            <w:tcW w:type="dxa" w:w="8208"/>
            <w:tcMar>
              <w:top w:w="0" w:type="dxa"/>
              <w:bottom w:w="0" w:type="dxa"/>
              <w:left w:w="0" w:type="dxa"/>
              <w:right w:w="0" w:type="dxa"/>
            </w:tcMar>
            <w:tcBorders>
              <w:top w:val="none"/>
              <w:left w:val="none"/>
              <w:bottom w:val="none"/>
              <w:right w:val="none"/>
            </w:tcBorders>
          </w:tcPr>
          <w:p>
            <w:pPr>
              <w:spacing w:line="240" w:lineRule="auto" w:before="0" w:after="0"/>
              <w:jc w:val="center"/>
            </w:pPr>
            <m:oMath>
              <m:sSub>
                <m:e>
                  <m:bar>
                    <m:barPr>
                      <m:pos m:val="top"/>
                    </m:barPr>
                    <m:e>
                      <m:r>
                        <m:t>D</m:t>
                      </m:r>
                    </m:e>
                  </m:bar>
                </m:e>
                <m:sub>
                  <m:r>
                    <m:t>%</m:t>
                  </m:r>
                </m:sub>
              </m:sSub>
              <m:r>
                <m:t>=</m:t>
              </m:r>
              <m:f>
                <m:fPr>
                  <m:type m:val="bar"/>
                </m:fPr>
                <m:num>
                  <m:r>
                    <m:t>1</m:t>
                  </m:r>
                </m:num>
                <m:den>
                  <m:sSub>
                    <m:e>
                      <m:r>
                        <m:t>M</m:t>
                      </m:r>
                    </m:e>
                    <m:sub>
                      <m:r>
                        <m:rPr>
                          <m:nor/>
                        </m:rPr>
                        <m:t>dyn</m:t>
                      </m:r>
                    </m:sub>
                  </m:sSub>
                </m:den>
              </m:f>
              <m:nary>
                <m:naryPr>
                  <m:chr m:val="∑"/>
                  <m:limLoc m:val="subSup"/>
                  <m:grow m:val="1"/>
                  <m:subHide m:val="off"/>
                  <m:supHide m:val="off"/>
                </m:naryPr>
                <m:sub>
                  <m:r>
                    <m:t>m=1</m:t>
                  </m:r>
                </m:sub>
                <m:sup>
                  <m:sSub>
                    <m:e>
                      <m:r>
                        <m:t>M</m:t>
                      </m:r>
                    </m:e>
                    <m:sub>
                      <m:r>
                        <m:rPr>
                          <m:nor/>
                        </m:rPr>
                        <m:t>dyn</m:t>
                      </m:r>
                    </m:sub>
                  </m:sSub>
                </m:sup>
                <m:e>
                  <m:d>
                    <m:dPr>
                      <m:sepChr m:val="×"/>
                    </m:dPr>
                    <m:e>
                      <m:f>
                        <m:fPr>
                          <m:type m:val="bar"/>
                        </m:fPr>
                        <m:num>
                          <m:sSub>
                            <m:e>
                              <m:r>
                                <m:t>E</m:t>
                              </m:r>
                            </m:e>
                            <m:sub>
                              <m:r>
                                <m:t>p,m</m:t>
                              </m:r>
                            </m:sub>
                          </m:sSub>
                          <m:r>
                            <m:t>(T)</m:t>
                          </m:r>
                        </m:num>
                        <m:den>
                          <m:sSub>
                            <m:e>
                              <m:r>
                                <m:t>S</m:t>
                              </m:r>
                            </m:e>
                            <m:sub>
                              <m:r>
                                <m:t>m</m:t>
                              </m:r>
                            </m:sub>
                          </m:sSub>
                          <m:r>
                            <m:t>(T)</m:t>
                          </m:r>
                        </m:den>
                      </m:f>
                    </m:e>
                    <m:e>
                      <m:r>
                        <m:t>100</m:t>
                      </m:r>
                      <m:r>
                        <m:t>%</m:t>
                      </m:r>
                    </m:e>
                  </m:d>
                </m:e>
              </m:nary>
            </m:oMath>
          </w:p>
        </w:tc>
        <w:tc>
          <w:tcPr>
            <w:tcW w:type="dxa" w:w="1152"/>
            <w:tcMar>
              <w:top w:w="0" w:type="dxa"/>
              <w:bottom w:w="0" w:type="dxa"/>
              <w:left w:w="0" w:type="dxa"/>
              <w:right w:w="0" w:type="dxa"/>
            </w:tcMar>
            <w:tcBorders>
              <w:top w:val="none"/>
              <w:left w:val="none"/>
              <w:bottom w:val="none"/>
              <w:right w:val="none"/>
            </w:tcBorders>
          </w:tcPr>
          <w:p>
            <w:pPr>
              <w:spacing w:line="240" w:lineRule="auto" w:before="0" w:after="0"/>
              <w:jc w:val="right"/>
            </w:pPr>
            <w:r>
              <w:rPr>
                <w:rFonts w:ascii="Times New Roman" w:hAnsi="Times New Roman"/>
                <w:sz w:val="24"/>
              </w:rPr>
              <w:t>(13)</w:t>
            </w:r>
          </w:p>
        </w:tc>
      </w:tr>
    </w:tbl>
    <w:p>
      <w:pPr>
        <w:spacing w:before="0" w:after="0" w:line="240" w:lineRule="auto"/>
        <w:ind w:firstLine="0"/>
        <w:jc w:val="both"/>
      </w:pPr>
      <w:r>
        <w:rPr>
          <w:rFonts w:ascii="Times New Roman" w:hAnsi="Times New Roman"/>
          <w:color w:val="000000"/>
          <w:sz w:val="24"/>
        </w:rPr>
        <w:t xml:space="preserve">where </w:t>
      </w:r>
      <m:oMath>
        <m:sSub>
          <m:e>
            <m:r>
              <m:t>M</m:t>
            </m:r>
          </m:e>
          <m:sub>
            <m:r>
              <m:rPr>
                <m:nor/>
              </m:rPr>
              <m:t>dyn</m:t>
            </m:r>
          </m:sub>
        </m:sSub>
        <m:r>
          <m:t>=12</m:t>
        </m:r>
      </m:oMath>
      <w:r>
        <w:rPr>
          <w:rFonts w:ascii="Times New Roman" w:hAnsi="Times New Roman"/>
          <w:color w:val="000000"/>
          <w:sz w:val="24"/>
        </w:rPr>
        <w:t xml:space="preserve"> denotes the set of dynamic driving routes, with the stationary control route (Vw15) excluded from normalized percentage calculation to avoid distortion from the near-zero travel-distance denominator (</w:t>
      </w:r>
      <m:oMath>
        <m:r>
          <m:t>S&lt;2</m:t>
        </m:r>
        <m:r>
          <m:rPr>
            <m:nor/>
          </m:rPr>
          <m:t> m</m:t>
        </m:r>
      </m:oMath>
      <w:r>
        <w:rPr>
          <w:rFonts w:ascii="Times New Roman" w:hAnsi="Times New Roman"/>
          <w:color w:val="000000"/>
          <w:sz w:val="24"/>
        </w:rPr>
        <w:t xml:space="preserve">). Normalised drift percentages are calculated using the reference distance travelled during the corresponding 60-s blackout window, </w:t>
      </w:r>
      <m:oMath>
        <m:sSub>
          <m:e>
            <m:r>
              <m:t>S</m:t>
            </m:r>
          </m:e>
          <m:sub>
            <m:r>
              <m:t>m</m:t>
            </m:r>
          </m:sub>
        </m:sSub>
        <m:r>
          <m:t>(T)</m:t>
        </m:r>
      </m:oMath>
      <w:r>
        <w:rPr>
          <w:rFonts w:ascii="Times New Roman" w:hAnsi="Times New Roman"/>
          <w:color w:val="000000"/>
          <w:sz w:val="24"/>
        </w:rPr>
        <w:t xml:space="preserve">, which can differ from total trip distance. Absolute drift </w:t>
      </w:r>
      <m:oMath>
        <m:sSub>
          <m:e>
            <m:r>
              <m:t>E</m:t>
            </m:r>
          </m:e>
          <m:sub>
            <m:r>
              <m:t>p</m:t>
            </m:r>
          </m:sub>
        </m:sSub>
      </m:oMath>
      <w:r>
        <w:rPr>
          <w:rFonts w:ascii="Times New Roman" w:hAnsi="Times New Roman"/>
          <w:color w:val="000000"/>
          <w:sz w:val="24"/>
        </w:rPr>
        <w:t xml:space="preserve"> is reported across all 13 eligible trajectories.</w:t>
      </w:r>
    </w:p>
    <w:p>
      <w:pPr>
        <w:spacing w:before="0" w:after="0" w:line="240" w:lineRule="auto"/>
        <w:ind w:firstLine="0"/>
        <w:jc w:val="both"/>
      </w:pPr>
      <w:r>
        <w:rPr>
          <w:rFonts w:ascii="Times New Roman" w:hAnsi="Times New Roman"/>
          <w:color w:val="000000"/>
          <w:sz w:val="24"/>
        </w:rPr>
        <w:t>3. Velocity estimation accuracy: Mean Absolute Error (MAE), Root Mean Square Error (RMSE), and signed bias (</w:t>
      </w:r>
      <m:oMath>
        <m:sSub>
          <m:e>
            <m:bar>
              <m:barPr>
                <m:pos m:val="top"/>
              </m:barPr>
              <m:e>
                <m:r>
                  <m:t>e</m:t>
                </m:r>
              </m:e>
            </m:bar>
          </m:e>
          <m:sub>
            <m:r>
              <m:t>v</m:t>
            </m:r>
          </m:sub>
        </m:sSub>
      </m:oMath>
      <w:r>
        <w:rPr>
          <w:rFonts w:ascii="Times New Roman" w:hAnsi="Times New Roman"/>
          <w:color w:val="000000"/>
          <w:sz w:val="24"/>
        </w:rPr>
        <w:t>) relative to CAN bus reference velocity over all held-out prediction epochs.</w:t>
      </w:r>
    </w:p>
    <w:p>
      <w:pPr>
        <w:spacing w:before="0" w:after="0" w:line="240" w:lineRule="auto"/>
        <w:ind w:firstLine="0"/>
        <w:jc w:val="both"/>
      </w:pPr>
      <w:r>
        <w:rPr>
          <w:rFonts w:ascii="Times New Roman" w:hAnsi="Times New Roman"/>
          <w:color w:val="000000"/>
          <w:sz w:val="24"/>
        </w:rPr>
        <w:t xml:space="preserve">4. Benchmark pass rate: The proportion of usable test trips achieving </w:t>
      </w:r>
      <m:oMath>
        <m:sSub>
          <m:e>
            <m:r>
              <m:t>D</m:t>
            </m:r>
          </m:e>
          <m:sub>
            <m:r>
              <m:t>%</m:t>
            </m:r>
          </m:sub>
        </m:sSub>
        <m:r>
          <m:t>&lt;10.0%</m:t>
        </m:r>
      </m:oMath>
      <w:r>
        <w:rPr>
          <w:rFonts w:ascii="Times New Roman" w:hAnsi="Times New Roman"/>
          <w:color w:val="000000"/>
          <w:sz w:val="24"/>
        </w:rPr>
        <w:t xml:space="preserve"> at 60 seconds, defined by Smart India Hackathon (SIH) Problem Statement 26168.</w:t>
      </w:r>
    </w:p>
    <w:p>
      <w:pPr>
        <w:keepNext/>
        <w:spacing w:before="0" w:after="0" w:line="240" w:lineRule="auto"/>
        <w:jc w:val="left"/>
      </w:pPr>
      <w:r>
        <w:rPr>
          <w:rFonts w:ascii="Times New Roman" w:hAnsi="Times New Roman"/>
          <w:i/>
          <w:sz w:val="24"/>
        </w:rPr>
        <w:t>3.4. Ablation and failure analysis</w:t>
      </w:r>
    </w:p>
    <w:p>
      <w:pPr>
        <w:spacing w:before="0" w:after="0" w:line="240" w:lineRule="auto"/>
        <w:ind w:firstLine="0"/>
        <w:jc w:val="both"/>
      </w:pPr>
      <w:r>
        <w:rPr>
          <w:rFonts w:ascii="Times New Roman" w:hAnsi="Times New Roman"/>
          <w:color w:val="000000"/>
          <w:sz w:val="24"/>
        </w:rPr>
        <w:t>To identify underlying mechanisms, controlled ablations examine:</w:t>
        <w:br/>
        <w:t>- Unconditional lateral NHC (</w:t>
      </w:r>
      <m:oMath>
        <m:sSubSup>
          <m:e>
            <m:r>
              <m:t>v</m:t>
            </m:r>
          </m:e>
          <m:sub>
            <m:r>
              <m:t>y</m:t>
            </m:r>
          </m:sub>
          <m:sup>
            <m:r>
              <m:t>b</m:t>
            </m:r>
          </m:sup>
        </m:sSubSup>
        <m:r>
          <m:t>≈0</m:t>
        </m:r>
      </m:oMath>
      <w:r>
        <w:rPr>
          <w:rFonts w:ascii="Times New Roman" w:hAnsi="Times New Roman"/>
          <w:color w:val="000000"/>
          <w:sz w:val="24"/>
        </w:rPr>
        <w:t>) versus decoupled lateral velocity damping.</w:t>
        <w:br/>
        <w:t>- Open-loop map visualization versus closed-loop road heading injection.</w:t>
        <w:br/>
        <w:t>- Zero-velocity detector gating thresholds.</w:t>
      </w:r>
    </w:p>
    <w:p>
      <w:pPr>
        <w:keepNext/>
        <w:spacing w:before="0" w:after="0" w:line="240" w:lineRule="auto"/>
        <w:jc w:val="left"/>
      </w:pPr>
      <w:r>
        <w:rPr>
          <w:rFonts w:ascii="Times New Roman" w:hAnsi="Times New Roman"/>
          <w:i/>
          <w:sz w:val="24"/>
        </w:rPr>
        <w:t>3.5. Distribution-shift tests</w:t>
      </w:r>
    </w:p>
    <w:p>
      <w:pPr>
        <w:spacing w:before="0" w:after="0" w:line="240" w:lineRule="auto"/>
        <w:ind w:firstLine="0"/>
        <w:jc w:val="both"/>
      </w:pPr>
      <w:r>
        <w:rPr>
          <w:rFonts w:ascii="Times New Roman" w:hAnsi="Times New Roman"/>
          <w:color w:val="000000"/>
          <w:sz w:val="24"/>
        </w:rPr>
        <w:t>Three operational stress tests evaluate boundary conditions:</w:t>
      </w:r>
    </w:p>
    <w:p>
      <w:pPr>
        <w:spacing w:before="0" w:after="0" w:line="240" w:lineRule="auto"/>
        <w:ind w:firstLine="0"/>
        <w:jc w:val="both"/>
      </w:pPr>
      <w:r>
        <w:rPr>
          <w:rFonts w:ascii="Times New Roman" w:hAnsi="Times New Roman"/>
          <w:color w:val="000000"/>
          <w:sz w:val="24"/>
        </w:rPr>
        <w:t>1. Highway cruise observability and feature separability: Evaluating learned velocity behaviour on motorway route V-Vfa02 (163 km). The investigation addresses two specific questions: First, signed velocity prediction residuals (</w:t>
      </w:r>
      <m:oMath>
        <m:acc>
          <m:accPr>
            <m:chr m:val="̂"/>
          </m:accPr>
          <m:e>
            <m:r>
              <m:t>v</m:t>
            </m:r>
          </m:e>
        </m:acc>
        <m:r>
          <m:t>−</m:t>
        </m:r>
        <m:sSup>
          <m:e>
            <m:r>
              <m:t>v</m:t>
            </m:r>
          </m:e>
          <m:sup>
            <m:r>
              <m:t>*</m:t>
            </m:r>
          </m:sup>
        </m:sSup>
      </m:oMath>
      <w:r>
        <w:rPr>
          <w:rFonts w:ascii="Times New Roman" w:hAnsi="Times New Roman"/>
          <w:color w:val="000000"/>
          <w:sz w:val="24"/>
        </w:rPr>
        <w:t>) are evaluated during steady-state highway cruising in the high-speed regime (</w:t>
      </w:r>
      <m:oMath>
        <m:r>
          <m:t>v≥25</m:t>
        </m:r>
        <m:r>
          <m:rPr>
            <m:nor/>
          </m:rPr>
          <m:t> m/s</m:t>
        </m:r>
      </m:oMath>
      <w:r>
        <w:rPr>
          <w:rFonts w:ascii="Times New Roman" w:hAnsi="Times New Roman"/>
          <w:color w:val="000000"/>
          <w:sz w:val="24"/>
        </w:rPr>
        <w:t xml:space="preserve">, </w:t>
      </w:r>
      <m:oMath>
        <m:r>
          <m:t>≥90</m:t>
        </m:r>
        <m:r>
          <m:rPr>
            <m:nor/>
          </m:rPr>
          <m:t> km/h</m:t>
        </m:r>
      </m:oMath>
      <w:r>
        <w:rPr>
          <w:rFonts w:ascii="Times New Roman" w:hAnsi="Times New Roman"/>
          <w:color w:val="000000"/>
          <w:sz w:val="24"/>
        </w:rPr>
        <w:t>, 90–120 km/h). Second, to quantify within-route statistical feature separability under low acceleration excitation, matched cruising observations at 80 km/h and 110 km/h are classified using a logistic regression model over the nine causal kinematic channels with five-fold stratified cross-validation, quantifying within-route statistical separability rather than cross-route predictive generalisation.</w:t>
      </w:r>
    </w:p>
    <w:p>
      <w:pPr>
        <w:spacing w:before="0" w:after="0" w:line="240" w:lineRule="auto"/>
        <w:ind w:firstLine="0"/>
        <w:jc w:val="both"/>
      </w:pPr>
      <w:r>
        <w:rPr>
          <w:rFonts w:ascii="Times New Roman" w:hAnsi="Times New Roman"/>
          <w:color w:val="000000"/>
          <w:sz w:val="24"/>
        </w:rPr>
        <w:t>2. Spectral vibration speed audit: Causal Welch periodogram and Fast Fourier Transform (FFT) analysis across 64 trips (&gt;450,000 1-s windows) correlating vibration frequency against forward speed.</w:t>
      </w:r>
    </w:p>
    <w:p>
      <w:pPr>
        <w:spacing w:before="0" w:after="0" w:line="240" w:lineRule="auto"/>
        <w:ind w:firstLine="0"/>
        <w:jc w:val="both"/>
      </w:pPr>
      <w:r>
        <w:rPr>
          <w:rFonts w:ascii="Times New Roman" w:hAnsi="Times New Roman"/>
          <w:color w:val="000000"/>
          <w:sz w:val="24"/>
        </w:rPr>
        <w:t>3. Pedestrian gait out-of-distribution test: Evaluating the vehicle-trained TCN on handheld pedestrian walking data recorded across outdoor walkways.</w:t>
      </w:r>
    </w:p>
    <w:p>
      <w:pPr>
        <w:keepNext/>
        <w:spacing w:before="0" w:after="0" w:line="240" w:lineRule="auto"/>
        <w:jc w:val="left"/>
      </w:pPr>
      <w:r>
        <w:rPr>
          <w:rFonts w:ascii="Times New Roman" w:hAnsi="Times New Roman"/>
          <w:i/>
          <w:sz w:val="24"/>
        </w:rPr>
        <w:t>3.6. Deployment replay</w:t>
      </w:r>
    </w:p>
    <w:p>
      <w:pPr>
        <w:spacing w:before="0" w:after="0" w:line="240" w:lineRule="auto"/>
        <w:ind w:firstLine="0"/>
        <w:jc w:val="both"/>
      </w:pPr>
      <w:r>
        <w:rPr>
          <w:rFonts w:ascii="Times New Roman" w:hAnsi="Times New Roman"/>
          <w:color w:val="000000"/>
          <w:sz w:val="24"/>
        </w:rPr>
        <w:t>On-device Android feasibility is assessed via continuous golden telemetry replay, feeding synchronized sensor streams into the mobile application to measure computational latency and quantify cross-platform floating-point parity against the Python reference engine.</w:t>
      </w:r>
    </w:p>
    <w:p>
      <w:pPr>
        <w:keepNext/>
        <w:spacing w:before="0" w:after="0" w:line="240" w:lineRule="auto"/>
        <w:jc w:val="left"/>
      </w:pPr>
      <w:r>
        <w:rPr>
          <w:rFonts w:ascii="Times New Roman" w:hAnsi="Times New Roman"/>
          <w:i/>
          <w:sz w:val="24"/>
        </w:rPr>
        <w:t>3.7. Automated reproducibility and numerical verification</w:t>
      </w:r>
    </w:p>
    <w:p>
      <w:pPr>
        <w:spacing w:before="0" w:after="0" w:line="240" w:lineRule="auto"/>
        <w:ind w:firstLine="0"/>
        <w:jc w:val="both"/>
      </w:pPr>
      <w:r>
        <w:rPr>
          <w:rFonts w:ascii="Times New Roman" w:hAnsi="Times New Roman"/>
          <w:color w:val="000000"/>
          <w:sz w:val="24"/>
        </w:rPr>
        <w:t>To ensure reproducible reporting, automated audit scripts executed within the Google Antigravity environment verified mathematical causality, confirmed zero future-gradient leakage, cross-checked all reported tabular metrics against primary raw result logs, and audited reference DOIs against the CrossRef registry before manuscript finalisation.</w:t>
      </w:r>
    </w:p>
    <w:p>
      <w:pPr>
        <w:keepNext/>
        <w:spacing w:before="0" w:after="0" w:line="240" w:lineRule="auto"/>
        <w:jc w:val="left"/>
      </w:pPr>
      <w:r>
        <w:rPr>
          <w:rFonts w:ascii="Times New Roman" w:hAnsi="Times New Roman"/>
          <w:b w:val="0"/>
          <w:sz w:val="24"/>
        </w:rPr>
        <w:t>4. Results</w:t>
      </w:r>
    </w:p>
    <w:p>
      <w:pPr>
        <w:keepNext/>
        <w:spacing w:before="0" w:after="0" w:line="240" w:lineRule="auto"/>
        <w:jc w:val="left"/>
      </w:pPr>
      <w:r>
        <w:rPr>
          <w:rFonts w:ascii="Times New Roman" w:hAnsi="Times New Roman"/>
          <w:i/>
          <w:sz w:val="24"/>
        </w:rPr>
        <w:t>4.1. Baseline inertial divergence</w:t>
      </w:r>
    </w:p>
    <w:p>
      <w:pPr>
        <w:spacing w:before="0" w:after="0" w:line="240" w:lineRule="auto"/>
        <w:ind w:firstLine="0"/>
        <w:jc w:val="both"/>
      </w:pPr>
      <w:r>
        <w:rPr>
          <w:rFonts w:ascii="Times New Roman" w:hAnsi="Times New Roman"/>
          <w:color w:val="000000"/>
          <w:sz w:val="24"/>
        </w:rPr>
        <w:t>Table 3 summarizes trajectory drift and failure metrics of classical strapdown mechanization alongside intermediate baselines across the four evaluation horizons.</w:t>
      </w:r>
    </w:p>
    <w:p>
      <w:pPr>
        <w:keepNext/>
        <w:spacing w:before="0" w:after="0" w:line="240" w:lineRule="auto"/>
        <w:jc w:val="left"/>
      </w:pPr>
      <w:r>
        <w:rPr>
          <w:rFonts w:ascii="Times New Roman" w:hAnsi="Times New Roman"/>
          <w:b w:val="0"/>
          <w:sz w:val="22"/>
        </w:rPr>
        <w:t>Table 3. Baseline inertial navigation performance across evaluation horizons.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337"/>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Outage Horizon</w:t>
            </w:r>
          </w:p>
        </w:tc>
        <w:tc>
          <w:tcPr>
            <w:tcW w:type="dxa" w:w="1337"/>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Navigation Architecture</w:t>
            </w:r>
          </w:p>
        </w:tc>
        <w:tc>
          <w:tcPr>
            <w:tcW w:type="dxa" w:w="1337"/>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Evaluated Episodes (N)</w:t>
            </w:r>
          </w:p>
        </w:tc>
        <w:tc>
          <w:tcPr>
            <w:tcW w:type="dxa" w:w="1337"/>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Mean Drift (m)</w:t>
            </w:r>
          </w:p>
        </w:tc>
        <w:tc>
          <w:tcPr>
            <w:tcW w:type="dxa" w:w="1337"/>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Macro Distance Drift (%)</w:t>
            </w:r>
          </w:p>
        </w:tc>
        <w:tc>
          <w:tcPr>
            <w:tcW w:type="dxa" w:w="1337"/>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SIH Pass Count (&lt;10%)</w:t>
            </w:r>
          </w:p>
        </w:tc>
        <w:tc>
          <w:tcPr>
            <w:tcW w:type="dxa" w:w="1337"/>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Route Pass Rate (%)</w:t>
            </w:r>
          </w:p>
        </w:tc>
      </w:tr>
      <w:tr>
        <w:trPr>
          <w:cantSplit/>
        </w:trPr>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left"/>
            </w:pPr>
            <w:r/>
            <w:r>
              <w:rPr>
                <w:rFonts w:ascii="Times New Roman" w:hAnsi="Times New Roman"/>
                <w:color w:val="000000"/>
                <w:sz w:val="17"/>
              </w:rPr>
              <w:t>10 s Outage</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Pure Strapdown Kinematics</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18</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23.66</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83.54</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6 / 18</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33.3%</w:t>
            </w:r>
          </w:p>
        </w:tc>
      </w:tr>
      <w:tr>
        <w:trPr>
          <w:cantSplit/>
        </w:trPr>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left"/>
            </w:pPr>
            <w:r/>
            <w:r>
              <w:rPr>
                <w:rFonts w:ascii="Times New Roman" w:hAnsi="Times New Roman"/>
                <w:color w:val="000000"/>
                <w:sz w:val="17"/>
              </w:rPr>
              <w:t>10 s Outage</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Learned Static TCN</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18</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26.83</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106.44</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5 / 18</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27.8%</w:t>
            </w:r>
          </w:p>
        </w:tc>
      </w:tr>
      <w:tr>
        <w:trPr>
          <w:cantSplit/>
        </w:trPr>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left"/>
            </w:pPr>
            <w:r/>
            <w:r>
              <w:rPr>
                <w:rFonts w:ascii="Times New Roman" w:hAnsi="Times New Roman"/>
                <w:color w:val="000000"/>
                <w:sz w:val="17"/>
              </w:rPr>
              <w:t>10 s Outage</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Fixed Damped Momentum</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18</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23.49</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111.37</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6 / 18</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33.3%</w:t>
            </w:r>
          </w:p>
        </w:tc>
      </w:tr>
      <w:tr>
        <w:trPr>
          <w:cantSplit/>
        </w:trPr>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left"/>
            </w:pPr>
            <w:r/>
            <w:r>
              <w:rPr>
                <w:rFonts w:ascii="Times New Roman" w:hAnsi="Times New Roman"/>
                <w:color w:val="000000"/>
                <w:sz w:val="17"/>
              </w:rPr>
              <w:t>10 s Outage</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Adaptive Regime Fusion (Proposed)</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18</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25.06</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111.53</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5 / 18</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27.8%</w:t>
            </w:r>
          </w:p>
        </w:tc>
      </w:tr>
      <w:tr>
        <w:trPr>
          <w:cantSplit/>
        </w:trPr>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left"/>
            </w:pPr>
            <w:r/>
            <w:r>
              <w:rPr>
                <w:rFonts w:ascii="Times New Roman" w:hAnsi="Times New Roman"/>
                <w:color w:val="000000"/>
                <w:sz w:val="17"/>
              </w:rPr>
              <w:t>20 s Outage</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Pure Strapdown Kinematics</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17</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57.01</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147.98</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4 / 17</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23.5%</w:t>
            </w:r>
          </w:p>
        </w:tc>
      </w:tr>
      <w:tr>
        <w:trPr>
          <w:cantSplit/>
        </w:trPr>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left"/>
            </w:pPr>
            <w:r/>
            <w:r>
              <w:rPr>
                <w:rFonts w:ascii="Times New Roman" w:hAnsi="Times New Roman"/>
                <w:color w:val="000000"/>
                <w:sz w:val="17"/>
              </w:rPr>
              <w:t>20 s Outage</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Learned Static TCN</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17</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45.73</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123.95</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5 / 17</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29.4%</w:t>
            </w:r>
          </w:p>
        </w:tc>
      </w:tr>
      <w:tr>
        <w:trPr>
          <w:cantSplit/>
        </w:trPr>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left"/>
            </w:pPr>
            <w:r/>
            <w:r>
              <w:rPr>
                <w:rFonts w:ascii="Times New Roman" w:hAnsi="Times New Roman"/>
                <w:color w:val="000000"/>
                <w:sz w:val="17"/>
              </w:rPr>
              <w:t>20 s Outage</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Fixed Damped Momentum</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17</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65.81</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193.51</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4 / 17</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23.5%</w:t>
            </w:r>
          </w:p>
        </w:tc>
      </w:tr>
      <w:tr>
        <w:trPr>
          <w:cantSplit/>
        </w:trPr>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left"/>
            </w:pPr>
            <w:r/>
            <w:r>
              <w:rPr>
                <w:rFonts w:ascii="Times New Roman" w:hAnsi="Times New Roman"/>
                <w:color w:val="000000"/>
                <w:sz w:val="17"/>
              </w:rPr>
              <w:t>20 s Outage</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Adaptive Regime Fusion (Proposed)</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17</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49.27</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135.51</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4 / 17</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23.5%</w:t>
            </w:r>
          </w:p>
        </w:tc>
      </w:tr>
      <w:tr>
        <w:trPr>
          <w:cantSplit/>
        </w:trPr>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left"/>
            </w:pPr>
            <w:r/>
            <w:r>
              <w:rPr>
                <w:rFonts w:ascii="Times New Roman" w:hAnsi="Times New Roman"/>
                <w:color w:val="000000"/>
                <w:sz w:val="17"/>
              </w:rPr>
              <w:t>30 s Outage</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Pure Strapdown Kinematics</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16</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109.57</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118.22</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2 / 16</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12.5%</w:t>
            </w:r>
          </w:p>
        </w:tc>
      </w:tr>
      <w:tr>
        <w:trPr>
          <w:cantSplit/>
        </w:trPr>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left"/>
            </w:pPr>
            <w:r/>
            <w:r>
              <w:rPr>
                <w:rFonts w:ascii="Times New Roman" w:hAnsi="Times New Roman"/>
                <w:color w:val="000000"/>
                <w:sz w:val="17"/>
              </w:rPr>
              <w:t>30 s Outage</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Learned Static TCN</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16</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54.62</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65.57</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5 / 16</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31.2%</w:t>
            </w:r>
          </w:p>
        </w:tc>
      </w:tr>
      <w:tr>
        <w:trPr>
          <w:cantSplit/>
        </w:trPr>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left"/>
            </w:pPr>
            <w:r/>
            <w:r>
              <w:rPr>
                <w:rFonts w:ascii="Times New Roman" w:hAnsi="Times New Roman"/>
                <w:color w:val="000000"/>
                <w:sz w:val="17"/>
              </w:rPr>
              <w:t>30 s Outage</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Fixed Damped Momentum</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16</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98.07</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127.13</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2 / 16</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12.5%</w:t>
            </w:r>
          </w:p>
        </w:tc>
      </w:tr>
      <w:tr>
        <w:trPr>
          <w:cantSplit/>
        </w:trPr>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left"/>
            </w:pPr>
            <w:r/>
            <w:r>
              <w:rPr>
                <w:rFonts w:ascii="Times New Roman" w:hAnsi="Times New Roman"/>
                <w:color w:val="000000"/>
                <w:sz w:val="17"/>
              </w:rPr>
              <w:t>30 s Outage</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Adaptive Regime Fusion (Proposed)</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16</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61.83</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71.38</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4 / 16</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25.0%</w:t>
            </w:r>
          </w:p>
        </w:tc>
      </w:tr>
      <w:tr>
        <w:trPr>
          <w:cantSplit/>
        </w:trPr>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left"/>
            </w:pPr>
            <w:r/>
            <w:r>
              <w:rPr>
                <w:rFonts w:ascii="Times New Roman" w:hAnsi="Times New Roman"/>
                <w:color w:val="000000"/>
                <w:sz w:val="17"/>
              </w:rPr>
              <w:t>60 s Outage</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Pure Strapdown Kinematics</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13</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324.21</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89.66</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0 / 13</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0.0%</w:t>
            </w:r>
          </w:p>
        </w:tc>
      </w:tr>
      <w:tr>
        <w:trPr>
          <w:cantSplit/>
        </w:trPr>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left"/>
            </w:pPr>
            <w:r/>
            <w:r>
              <w:rPr>
                <w:rFonts w:ascii="Times New Roman" w:hAnsi="Times New Roman"/>
                <w:color w:val="000000"/>
                <w:sz w:val="17"/>
              </w:rPr>
              <w:t>60 s Outage</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Learned Static TCN</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13</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95.53</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18.26</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3 / 13</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23.1%</w:t>
            </w:r>
          </w:p>
        </w:tc>
      </w:tr>
      <w:tr>
        <w:trPr>
          <w:cantSplit/>
        </w:trPr>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left"/>
            </w:pPr>
            <w:r/>
            <w:r>
              <w:rPr>
                <w:rFonts w:ascii="Times New Roman" w:hAnsi="Times New Roman"/>
                <w:color w:val="000000"/>
                <w:sz w:val="17"/>
              </w:rPr>
              <w:t>60 s Outage</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Fixed Damped Momentum</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13</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173.71</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40.75</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 / 13</w:t>
            </w:r>
          </w:p>
        </w:tc>
        <w:tc>
          <w:tcPr>
            <w:tcW w:type="dxa" w:w="1337"/>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7.7%</w:t>
            </w:r>
          </w:p>
        </w:tc>
      </w:tr>
      <w:tr>
        <w:trPr>
          <w:cantSplit/>
        </w:trPr>
        <w:tc>
          <w:tcPr>
            <w:tcW w:type="dxa" w:w="1337"/>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left"/>
            </w:pPr>
            <w:r/>
            <w:r>
              <w:rPr>
                <w:rFonts w:ascii="Times New Roman" w:hAnsi="Times New Roman"/>
                <w:color w:val="000000"/>
                <w:sz w:val="17"/>
              </w:rPr>
              <w:t>60 s Outage</w:t>
            </w:r>
          </w:p>
        </w:tc>
        <w:tc>
          <w:tcPr>
            <w:tcW w:type="dxa" w:w="1337"/>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center"/>
            </w:pPr>
            <w:r/>
            <w:r>
              <w:rPr>
                <w:rFonts w:ascii="Times New Roman" w:hAnsi="Times New Roman"/>
                <w:color w:val="000000"/>
                <w:sz w:val="17"/>
              </w:rPr>
              <w:t>Adaptive Regime Fusion (Proposed)</w:t>
            </w:r>
          </w:p>
        </w:tc>
        <w:tc>
          <w:tcPr>
            <w:tcW w:type="dxa" w:w="1337"/>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center"/>
            </w:pPr>
            <w:r/>
            <w:r>
              <w:rPr>
                <w:rFonts w:ascii="Times New Roman" w:hAnsi="Times New Roman"/>
                <w:color w:val="000000"/>
                <w:sz w:val="17"/>
              </w:rPr>
              <w:t>13</w:t>
            </w:r>
          </w:p>
        </w:tc>
        <w:tc>
          <w:tcPr>
            <w:tcW w:type="dxa" w:w="1337"/>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center"/>
            </w:pPr>
            <w:r/>
            <w:r>
              <w:rPr>
                <w:rFonts w:ascii="Times New Roman" w:hAnsi="Times New Roman"/>
                <w:color w:val="000000"/>
                <w:sz w:val="17"/>
              </w:rPr>
              <w:t>96.65</w:t>
            </w:r>
          </w:p>
        </w:tc>
        <w:tc>
          <w:tcPr>
            <w:tcW w:type="dxa" w:w="1337"/>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center"/>
            </w:pPr>
            <w:r/>
            <w:r>
              <w:rPr>
                <w:rFonts w:ascii="Times New Roman" w:hAnsi="Times New Roman"/>
                <w:color w:val="000000"/>
                <w:sz w:val="17"/>
              </w:rPr>
              <w:t>16.76</w:t>
            </w:r>
          </w:p>
        </w:tc>
        <w:tc>
          <w:tcPr>
            <w:tcW w:type="dxa" w:w="1337"/>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center"/>
            </w:pPr>
            <w:r/>
            <w:r>
              <w:rPr>
                <w:rFonts w:ascii="Times New Roman" w:hAnsi="Times New Roman"/>
                <w:color w:val="000000"/>
                <w:sz w:val="17"/>
              </w:rPr>
              <w:t>3 / 13</w:t>
            </w:r>
          </w:p>
        </w:tc>
        <w:tc>
          <w:tcPr>
            <w:tcW w:type="dxa" w:w="1337"/>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center"/>
            </w:pPr>
            <w:r/>
            <w:r>
              <w:rPr>
                <w:rFonts w:ascii="Times New Roman" w:hAnsi="Times New Roman"/>
                <w:color w:val="000000"/>
                <w:sz w:val="17"/>
              </w:rPr>
              <w:t>23.1%</w:t>
            </w:r>
          </w:p>
        </w:tc>
      </w:tr>
    </w:tbl>
    <w:p>
      <w:pPr>
        <w:spacing w:before="0" w:after="0" w:line="240" w:lineRule="auto"/>
        <w:ind w:firstLine="0"/>
        <w:jc w:val="both"/>
      </w:pPr>
      <w:r>
        <w:rPr>
          <w:rFonts w:ascii="Times New Roman" w:hAnsi="Times New Roman"/>
          <w:color w:val="000000"/>
          <w:sz w:val="24"/>
        </w:rPr>
        <w:t>Under pure strapdown mechanization, position drift exhibits rapid nonlinear growth, expanding from 23.66 metres at 10 seconds to 324.21 metres at 60 seconds. At 60 seconds, zero of the 13 usable trips achieve &lt;10% normalized drift (Table 3), with unconstrained accelerometer bias and gyro tilt error generating large lane-scale position error (exceeding lane-scale tolerances within 20–30 seconds).</w:t>
      </w:r>
    </w:p>
    <w:p>
      <w:pPr>
        <w:spacing w:before="0" w:after="0" w:line="240" w:lineRule="auto"/>
        <w:ind w:firstLine="0"/>
        <w:jc w:val="both"/>
      </w:pPr>
      <w:r>
        <w:rPr>
          <w:rFonts w:ascii="Times New Roman" w:hAnsi="Times New Roman"/>
          <w:color w:val="000000"/>
          <w:sz w:val="24"/>
        </w:rPr>
        <w:t>Figure 2 illustrates the divergence of open-loop strapdown mechanization compared to the vehicle reference trajectory during an extended satellite blackout.</w:t>
      </w:r>
    </w:p>
    <w:p>
      <w:pPr>
        <w:spacing w:before="0" w:after="0" w:line="240" w:lineRule="auto"/>
        <w:jc w:val="center"/>
      </w:pPr>
      <w:r>
        <w:drawing>
          <wp:inline xmlns:a="http://schemas.openxmlformats.org/drawingml/2006/main" xmlns:pic="http://schemas.openxmlformats.org/drawingml/2006/picture">
            <wp:extent cx="5029200" cy="2304456"/>
            <wp:docPr id="2" name="Picture 2"/>
            <wp:cNvGraphicFramePr>
              <a:graphicFrameLocks noChangeAspect="1"/>
            </wp:cNvGraphicFramePr>
            <a:graphic>
              <a:graphicData uri="http://schemas.openxmlformats.org/drawingml/2006/picture">
                <pic:pic>
                  <pic:nvPicPr>
                    <pic:cNvPr id="0" name="Figure_02.png"/>
                    <pic:cNvPicPr/>
                  </pic:nvPicPr>
                  <pic:blipFill>
                    <a:blip r:embed="rId10"/>
                    <a:stretch>
                      <a:fillRect/>
                    </a:stretch>
                  </pic:blipFill>
                  <pic:spPr>
                    <a:xfrm>
                      <a:off x="0" y="0"/>
                      <a:ext cx="5029200" cy="2304456"/>
                    </a:xfrm>
                    <a:prstGeom prst="rect"/>
                  </pic:spPr>
                </pic:pic>
              </a:graphicData>
            </a:graphic>
          </wp:inline>
        </w:drawing>
      </w:r>
    </w:p>
    <w:p>
      <w:pPr>
        <w:spacing w:before="0" w:after="0" w:line="240" w:lineRule="auto"/>
        <w:jc w:val="both"/>
      </w:pPr>
      <w:r>
        <w:rPr>
          <w:rFonts w:ascii="Times New Roman" w:hAnsi="Times New Roman"/>
          <w:i/>
          <w:color w:val="000000"/>
          <w:sz w:val="20"/>
        </w:rPr>
        <w:t>Figure 2. Open-loop strapdown inertial dead reckoning divergence during a 60-second GNSS outage on test route Vta20, illustrating rapid nonlinear position error growth exceeding 300 metres in the absence of external velocity aiding. Panel (b) reports the route-specific drift trajectory for Vta20; multi-route mean values across all eligible held-out routes are reported separately in Table 3.</w:t>
      </w:r>
    </w:p>
    <w:p>
      <w:pPr>
        <w:keepNext/>
        <w:spacing w:before="0" w:after="0" w:line="240" w:lineRule="auto"/>
        <w:jc w:val="left"/>
      </w:pPr>
      <w:r>
        <w:rPr>
          <w:rFonts w:ascii="Times New Roman" w:hAnsi="Times New Roman"/>
          <w:i/>
          <w:sz w:val="24"/>
        </w:rPr>
        <w:t>4.2. Training-trip scaling</w:t>
      </w:r>
    </w:p>
    <w:p>
      <w:pPr>
        <w:spacing w:before="0" w:after="0" w:line="240" w:lineRule="auto"/>
        <w:ind w:firstLine="0"/>
        <w:jc w:val="both"/>
      </w:pPr>
      <w:r>
        <w:rPr>
          <w:rFonts w:ascii="Times New Roman" w:hAnsi="Times New Roman"/>
          <w:color w:val="000000"/>
          <w:sz w:val="24"/>
        </w:rPr>
        <w:t>To examine the empirical effect of training set diversity, the TCN-kin model was trained across two distinct whole-trip partitions: an initial 6-trip baseline (representing approximately 1.1 hours of driving) and the full 39-trip training corpus (12.5 hours, 448,993 epochs). Both models were evaluated on the identical 19 held-out test routes (115,420 synchronized epochs, 113,539 prediction windows, 240.6 km).</w:t>
      </w:r>
    </w:p>
    <w:p>
      <w:pPr>
        <w:keepNext/>
        <w:spacing w:before="0" w:after="0" w:line="240" w:lineRule="auto"/>
        <w:jc w:val="left"/>
      </w:pPr>
      <w:r>
        <w:rPr>
          <w:rFonts w:ascii="Times New Roman" w:hAnsi="Times New Roman"/>
          <w:b w:val="0"/>
          <w:sz w:val="22"/>
        </w:rPr>
        <w:t>Table 4. Empirical scaling of TCN-kin forward speed estimation across 19 held-out test trips.</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Evaluation Metric</w:t>
            </w:r>
          </w:p>
        </w:tc>
        <w:tc>
          <w:tcPr>
            <w:tcW w:type="dxa" w:w="2340"/>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Current TCN (6 Training Trips)</w:t>
            </w:r>
          </w:p>
        </w:tc>
        <w:tc>
          <w:tcPr>
            <w:tcW w:type="dxa" w:w="2340"/>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Expanded TCN (39 Training Trips)</w:t>
            </w:r>
          </w:p>
        </w:tc>
        <w:tc>
          <w:tcPr>
            <w:tcW w:type="dxa" w:w="2340"/>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Relative Performance Delta (%)</w:t>
            </w:r>
          </w:p>
        </w:tc>
      </w:tr>
      <w:tr>
        <w:trPr>
          <w:cantSplit/>
        </w:trPr>
        <w:tc>
          <w:tcPr>
            <w:tcW w:type="dxa" w:w="2340"/>
            <w:vAlign w:val="center"/>
            <w:tcMar>
              <w:top w:w="20" w:type="dxa"/>
              <w:bottom w:w="20" w:type="dxa"/>
              <w:left w:w="50" w:type="dxa"/>
              <w:right w:w="50" w:type="dxa"/>
            </w:tcMar>
            <w:tcBorders>
              <w:top w:val="none"/>
              <w:left w:val="none"/>
              <w:bottom w:val="none"/>
              <w:right w:val="none"/>
            </w:tcBorders>
          </w:tcPr>
          <w:p>
            <w:pPr>
              <w:spacing w:line="240" w:lineRule="auto" w:after="0" w:before="0"/>
              <w:jc w:val="left"/>
            </w:pPr>
            <w:r/>
            <w:r>
              <w:rPr>
                <w:rFonts w:ascii="Times New Roman" w:hAnsi="Times New Roman"/>
                <w:color w:val="000000"/>
                <w:sz w:val="17"/>
              </w:rPr>
              <w:t>Training Scope</w:t>
            </w:r>
          </w:p>
        </w:tc>
        <w:tc>
          <w:tcPr>
            <w:tcW w:type="dxa" w:w="234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6 trips (1.1 h, 40,890 epochs)</w:t>
            </w:r>
          </w:p>
        </w:tc>
        <w:tc>
          <w:tcPr>
            <w:tcW w:type="dxa" w:w="234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39 trips (12.5 h, 448,993 epochs)</w:t>
            </w:r>
          </w:p>
        </w:tc>
        <w:tc>
          <w:tcPr>
            <w:tcW w:type="dxa" w:w="234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+550% training route exposure</w:t>
            </w:r>
          </w:p>
        </w:tc>
      </w:tr>
      <w:tr>
        <w:trPr>
          <w:cantSplit/>
        </w:trPr>
        <w:tc>
          <w:tcPr>
            <w:tcW w:type="dxa" w:w="2340"/>
            <w:vAlign w:val="center"/>
            <w:tcMar>
              <w:top w:w="20" w:type="dxa"/>
              <w:bottom w:w="20" w:type="dxa"/>
              <w:left w:w="50" w:type="dxa"/>
              <w:right w:w="50" w:type="dxa"/>
            </w:tcMar>
            <w:tcBorders>
              <w:top w:val="none"/>
              <w:left w:val="none"/>
              <w:bottom w:val="none"/>
              <w:right w:val="none"/>
            </w:tcBorders>
          </w:tcPr>
          <w:p>
            <w:pPr>
              <w:spacing w:line="240" w:lineRule="auto" w:after="0" w:before="0"/>
              <w:jc w:val="left"/>
            </w:pPr>
            <w:r/>
            <w:r>
              <w:rPr>
                <w:rFonts w:ascii="Times New Roman" w:hAnsi="Times New Roman"/>
                <w:color w:val="000000"/>
                <w:sz w:val="17"/>
              </w:rPr>
              <w:t>Velocity MAE (m/s)</w:t>
            </w:r>
          </w:p>
        </w:tc>
        <w:tc>
          <w:tcPr>
            <w:tcW w:type="dxa" w:w="234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6.17 m/s</w:t>
            </w:r>
          </w:p>
        </w:tc>
        <w:tc>
          <w:tcPr>
            <w:tcW w:type="dxa" w:w="234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2.76 m/s</w:t>
            </w:r>
          </w:p>
        </w:tc>
        <w:tc>
          <w:tcPr>
            <w:tcW w:type="dxa" w:w="234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-55.27% error reduction</w:t>
            </w:r>
          </w:p>
        </w:tc>
      </w:tr>
      <w:tr>
        <w:trPr>
          <w:cantSplit/>
        </w:trPr>
        <w:tc>
          <w:tcPr>
            <w:tcW w:type="dxa" w:w="2340"/>
            <w:vAlign w:val="center"/>
            <w:tcMar>
              <w:top w:w="20" w:type="dxa"/>
              <w:bottom w:w="20" w:type="dxa"/>
              <w:left w:w="50" w:type="dxa"/>
              <w:right w:w="50" w:type="dxa"/>
            </w:tcMar>
            <w:tcBorders>
              <w:top w:val="none"/>
              <w:left w:val="none"/>
              <w:bottom w:val="none"/>
              <w:right w:val="none"/>
            </w:tcBorders>
          </w:tcPr>
          <w:p>
            <w:pPr>
              <w:spacing w:line="240" w:lineRule="auto" w:after="0" w:before="0"/>
              <w:jc w:val="left"/>
            </w:pPr>
            <w:r/>
            <w:r>
              <w:rPr>
                <w:rFonts w:ascii="Times New Roman" w:hAnsi="Times New Roman"/>
                <w:color w:val="000000"/>
                <w:sz w:val="17"/>
              </w:rPr>
              <w:t>Velocity RMSE (m/s)</w:t>
            </w:r>
          </w:p>
        </w:tc>
        <w:tc>
          <w:tcPr>
            <w:tcW w:type="dxa" w:w="234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6.96 m/s</w:t>
            </w:r>
          </w:p>
        </w:tc>
        <w:tc>
          <w:tcPr>
            <w:tcW w:type="dxa" w:w="234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3.59 m/s</w:t>
            </w:r>
          </w:p>
        </w:tc>
        <w:tc>
          <w:tcPr>
            <w:tcW w:type="dxa" w:w="234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-48.42% error reduction</w:t>
            </w:r>
          </w:p>
        </w:tc>
      </w:tr>
      <w:tr>
        <w:trPr>
          <w:cantSplit/>
        </w:trPr>
        <w:tc>
          <w:tcPr>
            <w:tcW w:type="dxa" w:w="2340"/>
            <w:vAlign w:val="center"/>
            <w:tcMar>
              <w:top w:w="20" w:type="dxa"/>
              <w:bottom w:w="20" w:type="dxa"/>
              <w:left w:w="50" w:type="dxa"/>
              <w:right w:w="50" w:type="dxa"/>
            </w:tcMar>
            <w:tcBorders>
              <w:top w:val="none"/>
              <w:left w:val="none"/>
              <w:bottom w:val="none"/>
              <w:right w:val="none"/>
            </w:tcBorders>
          </w:tcPr>
          <w:p>
            <w:pPr>
              <w:spacing w:line="240" w:lineRule="auto" w:after="0" w:before="0"/>
              <w:jc w:val="left"/>
            </w:pPr>
            <w:r/>
            <w:r>
              <w:rPr>
                <w:rFonts w:ascii="Times New Roman" w:hAnsi="Times New Roman"/>
                <w:color w:val="000000"/>
                <w:sz w:val="17"/>
              </w:rPr>
              <w:t>Signed Bias (m/s)</w:t>
            </w:r>
          </w:p>
        </w:tc>
        <w:tc>
          <w:tcPr>
            <w:tcW w:type="dxa" w:w="234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-3.06 m/s</w:t>
            </w:r>
          </w:p>
        </w:tc>
        <w:tc>
          <w:tcPr>
            <w:tcW w:type="dxa" w:w="234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-0.41 m/s</w:t>
            </w:r>
          </w:p>
        </w:tc>
        <w:tc>
          <w:tcPr>
            <w:tcW w:type="dxa" w:w="234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-86.60% bias reduction</w:t>
            </w:r>
          </w:p>
        </w:tc>
      </w:tr>
      <w:tr>
        <w:trPr>
          <w:cantSplit/>
        </w:trPr>
        <w:tc>
          <w:tcPr>
            <w:tcW w:type="dxa" w:w="2340"/>
            <w:vAlign w:val="center"/>
            <w:tcMar>
              <w:top w:w="20" w:type="dxa"/>
              <w:bottom w:w="20" w:type="dxa"/>
              <w:left w:w="50" w:type="dxa"/>
              <w:right w:w="50" w:type="dxa"/>
            </w:tcMar>
            <w:tcBorders>
              <w:top w:val="none"/>
              <w:left w:val="none"/>
              <w:bottom w:val="none"/>
              <w:right w:val="none"/>
            </w:tcBorders>
          </w:tcPr>
          <w:p>
            <w:pPr>
              <w:spacing w:line="240" w:lineRule="auto" w:after="0" w:before="0"/>
              <w:jc w:val="left"/>
            </w:pPr>
            <w:r/>
            <w:r>
              <w:rPr>
                <w:rFonts w:ascii="Times New Roman" w:hAnsi="Times New Roman"/>
                <w:color w:val="000000"/>
                <w:sz w:val="17"/>
              </w:rPr>
              <w:t>30-Second Dead-Reckoning Drift (m)</w:t>
            </w:r>
          </w:p>
        </w:tc>
        <w:tc>
          <w:tcPr>
            <w:tcW w:type="dxa" w:w="234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153.31 m</w:t>
            </w:r>
          </w:p>
        </w:tc>
        <w:tc>
          <w:tcPr>
            <w:tcW w:type="dxa" w:w="234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52.64 m</w:t>
            </w:r>
          </w:p>
        </w:tc>
        <w:tc>
          <w:tcPr>
            <w:tcW w:type="dxa" w:w="234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-65.67% drift reduction</w:t>
            </w:r>
          </w:p>
        </w:tc>
      </w:tr>
      <w:tr>
        <w:trPr>
          <w:cantSplit/>
        </w:trPr>
        <w:tc>
          <w:tcPr>
            <w:tcW w:type="dxa" w:w="2340"/>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left"/>
            </w:pPr>
            <w:r/>
            <w:r>
              <w:rPr>
                <w:rFonts w:ascii="Times New Roman" w:hAnsi="Times New Roman"/>
                <w:color w:val="000000"/>
                <w:sz w:val="17"/>
              </w:rPr>
              <w:t>60-Second Dead-Reckoning Drift (m)</w:t>
            </w:r>
          </w:p>
        </w:tc>
        <w:tc>
          <w:tcPr>
            <w:tcW w:type="dxa" w:w="2340"/>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center"/>
            </w:pPr>
            <w:r/>
            <w:r>
              <w:rPr>
                <w:rFonts w:ascii="Times New Roman" w:hAnsi="Times New Roman"/>
                <w:color w:val="000000"/>
                <w:sz w:val="17"/>
              </w:rPr>
              <w:t>263.55 m</w:t>
            </w:r>
          </w:p>
        </w:tc>
        <w:tc>
          <w:tcPr>
            <w:tcW w:type="dxa" w:w="2340"/>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center"/>
            </w:pPr>
            <w:r/>
            <w:r>
              <w:rPr>
                <w:rFonts w:ascii="Times New Roman" w:hAnsi="Times New Roman"/>
                <w:color w:val="000000"/>
                <w:sz w:val="17"/>
              </w:rPr>
              <w:t>92.96 m</w:t>
            </w:r>
          </w:p>
        </w:tc>
        <w:tc>
          <w:tcPr>
            <w:tcW w:type="dxa" w:w="2340"/>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center"/>
            </w:pPr>
            <w:r/>
            <w:r>
              <w:rPr>
                <w:rFonts w:ascii="Times New Roman" w:hAnsi="Times New Roman"/>
                <w:color w:val="000000"/>
                <w:sz w:val="17"/>
              </w:rPr>
              <w:t>-64.72% drift reduction</w:t>
            </w:r>
          </w:p>
        </w:tc>
      </w:tr>
    </w:tbl>
    <w:p>
      <w:pPr>
        <w:spacing w:before="0" w:after="0" w:line="240" w:lineRule="auto"/>
        <w:ind w:firstLine="0"/>
        <w:jc w:val="both"/>
      </w:pPr>
      <w:r>
        <w:rPr>
          <w:rFonts w:ascii="Times New Roman" w:hAnsi="Times New Roman"/>
          <w:color w:val="000000"/>
          <w:sz w:val="24"/>
        </w:rPr>
        <w:t>As shown in Table 4, scaling training data from 6 to 39 whole trips reduces out-of-sample velocity MAE from 6.17 m/s to 2.76 m/s (55.27% improvement) and eliminates substantial negative bias (-3.06 m/s to -0.41 m/s). When integrated into the dead reckoning filter, the 39-trip model reduces 60-second position drift from 263.55 metres to 92.96 metres, representing a 64.72% error reduction.</w:t>
      </w:r>
    </w:p>
    <w:p>
      <w:pPr>
        <w:spacing w:before="0" w:after="0" w:line="240" w:lineRule="auto"/>
        <w:ind w:firstLine="0"/>
        <w:jc w:val="both"/>
      </w:pPr>
      <w:r>
        <w:rPr>
          <w:rFonts w:ascii="Times New Roman" w:hAnsi="Times New Roman"/>
          <w:color w:val="000000"/>
          <w:sz w:val="24"/>
        </w:rPr>
        <w:t>Figure 3 illustrates comparative scaling performance and residual error distributions between the 6-trip and 39-trip models.</w:t>
      </w:r>
    </w:p>
    <w:p>
      <w:pPr>
        <w:spacing w:before="0" w:after="0" w:line="240" w:lineRule="auto"/>
        <w:jc w:val="center"/>
      </w:pPr>
      <w:r>
        <w:drawing>
          <wp:inline xmlns:a="http://schemas.openxmlformats.org/drawingml/2006/main" xmlns:pic="http://schemas.openxmlformats.org/drawingml/2006/picture">
            <wp:extent cx="5120640" cy="3810990"/>
            <wp:docPr id="3" name="Picture 3"/>
            <wp:cNvGraphicFramePr>
              <a:graphicFrameLocks noChangeAspect="1"/>
            </wp:cNvGraphicFramePr>
            <a:graphic>
              <a:graphicData uri="http://schemas.openxmlformats.org/drawingml/2006/picture">
                <pic:pic>
                  <pic:nvPicPr>
                    <pic:cNvPr id="0" name="Figure_03.png"/>
                    <pic:cNvPicPr/>
                  </pic:nvPicPr>
                  <pic:blipFill>
                    <a:blip r:embed="rId11"/>
                    <a:stretch>
                      <a:fillRect/>
                    </a:stretch>
                  </pic:blipFill>
                  <pic:spPr>
                    <a:xfrm>
                      <a:off x="0" y="0"/>
                      <a:ext cx="5120640" cy="3810990"/>
                    </a:xfrm>
                    <a:prstGeom prst="rect"/>
                  </pic:spPr>
                </pic:pic>
              </a:graphicData>
            </a:graphic>
          </wp:inline>
        </w:drawing>
      </w:r>
    </w:p>
    <w:p>
      <w:pPr>
        <w:spacing w:before="0" w:after="0" w:line="240" w:lineRule="auto"/>
        <w:jc w:val="both"/>
      </w:pPr>
      <w:r>
        <w:rPr>
          <w:rFonts w:ascii="Times New Roman" w:hAnsi="Times New Roman"/>
          <w:i/>
          <w:color w:val="000000"/>
          <w:sz w:val="20"/>
        </w:rPr>
        <w:t>Figure 3. Controlled scaling of causal TCN-kin training across 19 held-out test routes (115,420 prediction epochs, 240.6 km): comparison between 6-trip (1.1 h) and 39-trip (12.5 h) models, demonstrating a 55.27% reduction in velocity MAE and a 64.72% reduction in 60-second position drift.</w:t>
      </w:r>
    </w:p>
    <w:p>
      <w:pPr>
        <w:keepNext/>
        <w:spacing w:before="0" w:after="0" w:line="240" w:lineRule="auto"/>
        <w:jc w:val="left"/>
      </w:pPr>
      <w:r>
        <w:rPr>
          <w:rFonts w:ascii="Times New Roman" w:hAnsi="Times New Roman"/>
          <w:i/>
          <w:sz w:val="24"/>
        </w:rPr>
        <w:t>4.3. Learned velocity and adaptive fusion</w:t>
      </w:r>
    </w:p>
    <w:p>
      <w:pPr>
        <w:spacing w:before="0" w:after="0" w:line="240" w:lineRule="auto"/>
        <w:ind w:firstLine="0"/>
        <w:jc w:val="both"/>
      </w:pPr>
      <w:r>
        <w:rPr>
          <w:rFonts w:ascii="Times New Roman" w:hAnsi="Times New Roman"/>
          <w:color w:val="000000"/>
          <w:sz w:val="24"/>
        </w:rPr>
        <w:t>At the 60-second horizon, the NavSense adaptive fusion engine achieves an aggregate mean horizontal position drift of 96.65 metres across all 13 usable trips, and a macro-average normalized drift of 16.76% across the 12 dynamic driving trips per Equation (13). While the static TCN achieves a slightly lower raw absolute drift (95.53 m versus 96.65 m), the adaptive blending of kinematic momentum provides superior stability across urban stop-and-go trips, reducing normalized macro-average drift from 18.26% to 16.76%.</w:t>
      </w:r>
    </w:p>
    <w:p>
      <w:pPr>
        <w:keepNext/>
        <w:spacing w:before="0" w:after="0" w:line="240" w:lineRule="auto"/>
        <w:jc w:val="left"/>
      </w:pPr>
      <w:r>
        <w:rPr>
          <w:rFonts w:ascii="Times New Roman" w:hAnsi="Times New Roman"/>
          <w:i/>
          <w:sz w:val="24"/>
        </w:rPr>
        <w:t>4.4. Constraint failure and decoupled recovery</w:t>
      </w:r>
    </w:p>
    <w:p>
      <w:pPr>
        <w:spacing w:before="0" w:after="0" w:line="240" w:lineRule="auto"/>
        <w:ind w:firstLine="0"/>
        <w:jc w:val="both"/>
      </w:pPr>
      <w:r>
        <w:rPr>
          <w:rFonts w:ascii="Times New Roman" w:hAnsi="Times New Roman"/>
          <w:color w:val="000000"/>
          <w:sz w:val="24"/>
        </w:rPr>
        <w:t>To examine the interaction between kinematic vehicle constraints and consumer smartphone IMUs, a controlled ablation evaluating six representative configurations from an eight-configuration study was conducted on the filter architecture across 83 evaluation windows.</w:t>
      </w:r>
    </w:p>
    <w:p>
      <w:pPr>
        <w:keepNext/>
        <w:spacing w:before="0" w:after="0" w:line="240" w:lineRule="auto"/>
        <w:jc w:val="left"/>
      </w:pPr>
      <w:r>
        <w:rPr>
          <w:rFonts w:ascii="Times New Roman" w:hAnsi="Times New Roman"/>
          <w:b w:val="0"/>
          <w:sz w:val="22"/>
        </w:rPr>
        <w:t>Table 5. Controlled ablation of kinematic constraints and fusion configurations at 60-second blackout horizon.</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1170"/>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Configuration Variant</w:t>
            </w:r>
          </w:p>
        </w:tc>
        <w:tc>
          <w:tcPr>
            <w:tcW w:type="dxa" w:w="1170"/>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Forward Speed</w:t>
            </w:r>
          </w:p>
        </w:tc>
        <w:tc>
          <w:tcPr>
            <w:tcW w:type="dxa" w:w="1170"/>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Lateral Constraint</w:t>
            </w:r>
          </w:p>
        </w:tc>
        <w:tc>
          <w:tcPr>
            <w:tcW w:type="dxa" w:w="1170"/>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Attitude Feedback</w:t>
            </w:r>
          </w:p>
        </w:tc>
        <w:tc>
          <w:tcPr>
            <w:tcW w:type="dxa" w:w="1170"/>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Mean 60-s Drift (m)</w:t>
            </w:r>
          </w:p>
        </w:tc>
        <w:tc>
          <w:tcPr>
            <w:tcW w:type="dxa" w:w="1170"/>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Relative Drift to Variant E (%)</w:t>
            </w:r>
          </w:p>
        </w:tc>
        <w:tc>
          <w:tcPr>
            <w:tcW w:type="dxa" w:w="1170"/>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Mean NIS_x</w:t>
            </w:r>
          </w:p>
        </w:tc>
        <w:tc>
          <w:tcPr>
            <w:tcW w:type="dxa" w:w="1170"/>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Filter State</w:t>
            </w:r>
          </w:p>
        </w:tc>
      </w:tr>
      <w:tr>
        <w:trPr>
          <w:cantSplit/>
        </w:trPr>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left"/>
            </w:pPr>
            <w:r/>
            <w:r>
              <w:rPr>
                <w:rFonts w:ascii="Times New Roman" w:hAnsi="Times New Roman"/>
                <w:color w:val="000000"/>
                <w:sz w:val="17"/>
              </w:rPr>
              <w:t>Variant A (Pure-INS Baseline)</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None</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None</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None</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2488.7</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295.1%</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0.00</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Divergent</w:t>
            </w:r>
          </w:p>
        </w:tc>
      </w:tr>
      <w:tr>
        <w:trPr>
          <w:cantSplit/>
        </w:trPr>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left"/>
            </w:pPr>
            <w:r/>
            <w:r>
              <w:rPr>
                <w:rFonts w:ascii="Times New Roman" w:hAnsi="Times New Roman"/>
                <w:color w:val="000000"/>
                <w:sz w:val="17"/>
              </w:rPr>
              <w:t>Variant D (Coupled 3D NHC alone)</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None</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Coupled (v_y, v_z)</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Full</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1166.7</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138.3%</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0.00</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Marginal</w:t>
            </w:r>
          </w:p>
        </w:tc>
      </w:tr>
      <w:tr>
        <w:trPr>
          <w:cantSplit/>
        </w:trPr>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left"/>
            </w:pPr>
            <w:r/>
            <w:r>
              <w:rPr>
                <w:rFonts w:ascii="Times New Roman" w:hAnsi="Times New Roman"/>
                <w:color w:val="000000"/>
                <w:sz w:val="17"/>
              </w:rPr>
              <w:t>Variant E (Learned TCN Alone)</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TCN v_x</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None</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None</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843.4</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100.0% (Ref)</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6.55</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Stable</w:t>
            </w:r>
          </w:p>
        </w:tc>
      </w:tr>
      <w:tr>
        <w:trPr>
          <w:cantSplit/>
        </w:trPr>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left"/>
            </w:pPr>
            <w:r/>
            <w:r>
              <w:rPr>
                <w:rFonts w:ascii="Times New Roman" w:hAnsi="Times New Roman"/>
                <w:color w:val="000000"/>
                <w:sz w:val="17"/>
              </w:rPr>
              <w:t>Variant F (TCN + Unconditional Lateral NHC)</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TCN v_x</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Coupled (v_y = 0)</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Full</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1226.9</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145.5%</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82.12</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Degraded</w:t>
            </w:r>
          </w:p>
        </w:tc>
      </w:tr>
      <w:tr>
        <w:trPr>
          <w:cantSplit/>
        </w:trPr>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left"/>
            </w:pPr>
            <w:r/>
            <w:r>
              <w:rPr>
                <w:rFonts w:ascii="Times New Roman" w:hAnsi="Times New Roman"/>
                <w:color w:val="000000"/>
                <w:sz w:val="17"/>
              </w:rPr>
              <w:t>Variant H (TCN + Full Coupled 3D NHC)</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TCN v_x</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Coupled (v_y, v_z = 0)</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Full</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1240.8</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147.1%</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87.85</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Degraded</w:t>
            </w:r>
          </w:p>
        </w:tc>
      </w:tr>
      <w:tr>
        <w:trPr>
          <w:cantSplit/>
        </w:trPr>
        <w:tc>
          <w:tcPr>
            <w:tcW w:type="dxa" w:w="1170"/>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left"/>
            </w:pPr>
            <w:r/>
            <w:r>
              <w:rPr>
                <w:rFonts w:ascii="Times New Roman" w:hAnsi="Times New Roman"/>
                <w:color w:val="000000"/>
                <w:sz w:val="17"/>
              </w:rPr>
              <w:t>Variant V1 (Proposed Decoupled Damping)</w:t>
            </w:r>
          </w:p>
        </w:tc>
        <w:tc>
          <w:tcPr>
            <w:tcW w:type="dxa" w:w="1170"/>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center"/>
            </w:pPr>
            <w:r/>
            <w:r>
              <w:rPr>
                <w:rFonts w:ascii="Times New Roman" w:hAnsi="Times New Roman"/>
                <w:color w:val="000000"/>
                <w:sz w:val="17"/>
              </w:rPr>
              <w:t>TCN v_x</w:t>
            </w:r>
          </w:p>
        </w:tc>
        <w:tc>
          <w:tcPr>
            <w:tcW w:type="dxa" w:w="1170"/>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center"/>
            </w:pPr>
            <w:r/>
            <w:r>
              <w:rPr>
                <w:rFonts w:ascii="Times New Roman" w:hAnsi="Times New Roman"/>
                <w:color w:val="000000"/>
                <w:sz w:val="17"/>
              </w:rPr>
              <w:t>Decoupled Damping</w:t>
            </w:r>
          </w:p>
        </w:tc>
        <w:tc>
          <w:tcPr>
            <w:tcW w:type="dxa" w:w="1170"/>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center"/>
            </w:pPr>
            <w:r/>
            <w:r>
              <w:rPr>
                <w:rFonts w:ascii="Times New Roman" w:hAnsi="Times New Roman"/>
                <w:color w:val="000000"/>
                <w:sz w:val="17"/>
              </w:rPr>
              <w:t>None (K_y[6:15]=0)</w:t>
            </w:r>
          </w:p>
        </w:tc>
        <w:tc>
          <w:tcPr>
            <w:tcW w:type="dxa" w:w="1170"/>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center"/>
            </w:pPr>
            <w:r/>
            <w:r>
              <w:rPr>
                <w:rFonts w:ascii="Times New Roman" w:hAnsi="Times New Roman"/>
                <w:color w:val="000000"/>
                <w:sz w:val="17"/>
              </w:rPr>
              <w:t>382.7</w:t>
            </w:r>
          </w:p>
        </w:tc>
        <w:tc>
          <w:tcPr>
            <w:tcW w:type="dxa" w:w="1170"/>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center"/>
            </w:pPr>
            <w:r/>
            <w:r>
              <w:rPr>
                <w:rFonts w:ascii="Times New Roman" w:hAnsi="Times New Roman"/>
                <w:color w:val="000000"/>
                <w:sz w:val="17"/>
              </w:rPr>
              <w:t>45.4%</w:t>
            </w:r>
          </w:p>
        </w:tc>
        <w:tc>
          <w:tcPr>
            <w:tcW w:type="dxa" w:w="1170"/>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center"/>
            </w:pPr>
            <w:r/>
            <w:r>
              <w:rPr>
                <w:rFonts w:ascii="Times New Roman" w:hAnsi="Times New Roman"/>
                <w:color w:val="000000"/>
                <w:sz w:val="17"/>
              </w:rPr>
              <w:t>6.60</w:t>
            </w:r>
          </w:p>
        </w:tc>
        <w:tc>
          <w:tcPr>
            <w:tcW w:type="dxa" w:w="1170"/>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center"/>
            </w:pPr>
            <w:r/>
            <w:r>
              <w:rPr>
                <w:rFonts w:ascii="Times New Roman" w:hAnsi="Times New Roman"/>
                <w:color w:val="000000"/>
                <w:sz w:val="17"/>
              </w:rPr>
              <w:t>Stable</w:t>
            </w:r>
          </w:p>
        </w:tc>
      </w:tr>
    </w:tbl>
    <w:p>
      <w:pPr>
        <w:spacing w:before="0" w:after="0" w:line="240" w:lineRule="auto"/>
        <w:ind w:firstLine="0"/>
        <w:jc w:val="both"/>
      </w:pPr>
      <w:r>
        <w:rPr>
          <w:rFonts w:ascii="Times New Roman" w:hAnsi="Times New Roman"/>
          <w:color w:val="000000"/>
          <w:sz w:val="24"/>
        </w:rPr>
        <w:t>Protocol Note: The controlled ablation results in Table 5 evaluate six representative filter configurations across an 83-window multi-trip configuration protocol, whereas the final held-out benchmark in Table 7 evaluates continuous 60-second blackout trajectories across the 13 eligible held-out test routes. Relative drift is expressed as a percentage of the learned TCN reference baseline (Variant E = 100.0%); values above 100% indicate performance degradation relative to Variant E, while values below 100% indicate lower drift (improved accuracy).</w:t>
      </w:r>
    </w:p>
    <w:p>
      <w:pPr>
        <w:spacing w:before="0" w:after="0" w:line="240" w:lineRule="auto"/>
        <w:ind w:firstLine="0"/>
        <w:jc w:val="both"/>
      </w:pPr>
      <w:r>
        <w:rPr>
          <w:rFonts w:ascii="Times New Roman" w:hAnsi="Times New Roman"/>
          <w:color w:val="000000"/>
          <w:sz w:val="24"/>
        </w:rPr>
        <w:t>Applying standard unconditional lateral Non-Holonomic Constraints (Variant F) degraded 60-second position drift from 843.40 metres to 1226.90 metres, representing a 45.47% performance penalty in the tested configuration, accompanied by an innovation surge in lateral normalized innovation squared (</w:t>
      </w:r>
      <m:oMath>
        <m:r>
          <m:t>NI</m:t>
        </m:r>
        <m:sSub>
          <m:e>
            <m:r>
              <m:t>S</m:t>
            </m:r>
          </m:e>
          <m:sub>
            <m:r>
              <m:t>x</m:t>
            </m:r>
          </m:sub>
        </m:sSub>
      </m:oMath>
      <w:r>
        <w:rPr>
          <w:rFonts w:ascii="Times New Roman" w:hAnsi="Times New Roman"/>
          <w:color w:val="000000"/>
          <w:sz w:val="24"/>
        </w:rPr>
        <w:t>) from an empirical baseline reference level of 6.55 to 82.12. The observed failure is consistent with non-zero tyre sideslip during cornering together with unmodelled smartphone mounting misalignment. The standard Kalman update interprets lateral velocity innovations as attitude errors, corrupting the filter heading state.</w:t>
      </w:r>
    </w:p>
    <w:p>
      <w:pPr>
        <w:spacing w:before="0" w:after="0" w:line="240" w:lineRule="auto"/>
        <w:ind w:firstLine="0"/>
        <w:jc w:val="both"/>
      </w:pPr>
      <w:r>
        <w:rPr>
          <w:rFonts w:ascii="Times New Roman" w:hAnsi="Times New Roman"/>
          <w:color w:val="000000"/>
          <w:sz w:val="24"/>
        </w:rPr>
        <w:t>In contrast, the decoupled lateral damping formulation (Variant V1) isolates lateral velocity innovations strictly to velocity damping (</w:t>
      </w:r>
      <m:oMath>
        <m:sSub>
          <m:e>
            <m:r>
              <m:t>K</m:t>
            </m:r>
          </m:e>
          <m:sub>
            <m:r>
              <m:t>y</m:t>
            </m:r>
          </m:sub>
        </m:sSub>
        <m:r>
          <m:t>[6:15]=0</m:t>
        </m:r>
      </m:oMath>
      <w:r>
        <w:rPr>
          <w:rFonts w:ascii="Times New Roman" w:hAnsi="Times New Roman"/>
          <w:color w:val="000000"/>
          <w:sz w:val="24"/>
        </w:rPr>
        <w:t>), preventing false attitude adjustments and maintaining bounded innovation (</w:t>
      </w:r>
      <m:oMath>
        <m:r>
          <m:t>NI</m:t>
        </m:r>
        <m:sSub>
          <m:e>
            <m:r>
              <m:t>S</m:t>
            </m:r>
          </m:e>
          <m:sub>
            <m:r>
              <m:t>x</m:t>
            </m:r>
          </m:sub>
        </m:sSub>
        <m:r>
          <m:t>=6.60</m:t>
        </m:r>
      </m:oMath>
      <w:r>
        <w:rPr>
          <w:rFonts w:ascii="Times New Roman" w:hAnsi="Times New Roman"/>
          <w:color w:val="000000"/>
          <w:sz w:val="24"/>
        </w:rPr>
        <w:t>, near the baseline reference level of 6.55). This architectural decoupling reduces 60-second drift to 382.74 metres, a 54.62% improvement over the baseline unconstrained filter. Combining decoupled damping with the 39-trip scaled TCN in the full system further reduces 60-second drift to 95.53 metres.</w:t>
      </w:r>
    </w:p>
    <w:p>
      <w:pPr>
        <w:spacing w:before="0" w:after="0" w:line="240" w:lineRule="auto"/>
        <w:ind w:firstLine="0"/>
        <w:jc w:val="both"/>
      </w:pPr>
      <w:r>
        <w:rPr>
          <w:rFonts w:ascii="Times New Roman" w:hAnsi="Times New Roman"/>
          <w:color w:val="000000"/>
          <w:sz w:val="24"/>
        </w:rPr>
        <w:t>Figure 4 illustrates trajectory instability induced by coupled lateral constraints and the stabilization achieved through decoupled velocity damping.</w:t>
      </w:r>
    </w:p>
    <w:p>
      <w:pPr>
        <w:spacing w:before="0" w:after="0" w:line="240" w:lineRule="auto"/>
        <w:jc w:val="center"/>
      </w:pPr>
      <w:r>
        <w:drawing>
          <wp:inline xmlns:a="http://schemas.openxmlformats.org/drawingml/2006/main" xmlns:pic="http://schemas.openxmlformats.org/drawingml/2006/picture">
            <wp:extent cx="5486400" cy="1809300"/>
            <wp:docPr id="4" name="Picture 4"/>
            <wp:cNvGraphicFramePr>
              <a:graphicFrameLocks noChangeAspect="1"/>
            </wp:cNvGraphicFramePr>
            <a:graphic>
              <a:graphicData uri="http://schemas.openxmlformats.org/drawingml/2006/picture">
                <pic:pic>
                  <pic:nvPicPr>
                    <pic:cNvPr id="0" name="Figure_04.png"/>
                    <pic:cNvPicPr/>
                  </pic:nvPicPr>
                  <pic:blipFill>
                    <a:blip r:embed="rId12"/>
                    <a:stretch>
                      <a:fillRect/>
                    </a:stretch>
                  </pic:blipFill>
                  <pic:spPr>
                    <a:xfrm>
                      <a:off x="0" y="0"/>
                      <a:ext cx="5486400" cy="1809300"/>
                    </a:xfrm>
                    <a:prstGeom prst="rect"/>
                  </pic:spPr>
                </pic:pic>
              </a:graphicData>
            </a:graphic>
          </wp:inline>
        </w:drawing>
      </w:r>
    </w:p>
    <w:p>
      <w:pPr>
        <w:spacing w:before="0" w:after="0" w:line="240" w:lineRule="auto"/>
        <w:jc w:val="both"/>
      </w:pPr>
      <w:r>
        <w:rPr>
          <w:rFonts w:ascii="Times New Roman" w:hAnsi="Times New Roman"/>
          <w:i/>
          <w:color w:val="000000"/>
          <w:sz w:val="20"/>
        </w:rPr>
        <w:t>Figure 4. Kinematic constraint instability and decoupled velocity damping recovery: comparison of dead reckoning trajectories under standard coupled lateral NHC versus NavSense decoupled lateral velocity damping (</w:t>
      </w:r>
      <m:oMath>
        <m:sSub>
          <m:e>
            <m:r>
              <m:t>K</m:t>
            </m:r>
          </m:e>
          <m:sub>
            <m:r>
              <m:t>y</m:t>
            </m:r>
          </m:sub>
        </m:sSub>
        <m:r>
          <m:t>[6:15]=0</m:t>
        </m:r>
      </m:oMath>
      <w:r>
        <w:rPr>
          <w:rFonts w:ascii="Times New Roman" w:hAnsi="Times New Roman"/>
          <w:i/>
          <w:color w:val="000000"/>
          <w:sz w:val="20"/>
        </w:rPr>
        <w:t xml:space="preserve">), alongside </w:t>
      </w:r>
      <m:oMath>
        <m:r>
          <m:t>NI</m:t>
        </m:r>
        <m:sSub>
          <m:e>
            <m:r>
              <m:t>S</m:t>
            </m:r>
          </m:e>
          <m:sub>
            <m:r>
              <m:t>x</m:t>
            </m:r>
          </m:sub>
        </m:sSub>
      </m:oMath>
      <w:r>
        <w:rPr>
          <w:rFonts w:ascii="Times New Roman" w:hAnsi="Times New Roman"/>
          <w:i/>
          <w:color w:val="000000"/>
          <w:sz w:val="20"/>
        </w:rPr>
        <w:t xml:space="preserve"> innovation surge.</w:t>
      </w:r>
    </w:p>
    <w:p>
      <w:pPr>
        <w:keepNext/>
        <w:spacing w:before="0" w:after="0" w:line="240" w:lineRule="auto"/>
        <w:jc w:val="left"/>
      </w:pPr>
      <w:r>
        <w:rPr>
          <w:rFonts w:ascii="Times New Roman" w:hAnsi="Times New Roman"/>
          <w:i/>
          <w:sz w:val="24"/>
        </w:rPr>
        <w:t>4.5. Map-feedback failure</w:t>
      </w:r>
    </w:p>
    <w:p>
      <w:pPr>
        <w:spacing w:before="0" w:after="0" w:line="240" w:lineRule="auto"/>
        <w:ind w:firstLine="0"/>
        <w:jc w:val="both"/>
      </w:pPr>
      <w:r>
        <w:rPr>
          <w:rFonts w:ascii="Times New Roman" w:hAnsi="Times New Roman"/>
          <w:color w:val="000000"/>
          <w:sz w:val="24"/>
        </w:rPr>
        <w:t>Table 6 documents the evaluation of digital road map matching operating in open-loop visualization mode versus closed-loop Kalman filter feedback.</w:t>
      </w:r>
    </w:p>
    <w:p>
      <w:pPr>
        <w:keepNext/>
        <w:spacing w:before="0" w:after="0" w:line="240" w:lineRule="auto"/>
        <w:jc w:val="left"/>
      </w:pPr>
      <w:r>
        <w:rPr>
          <w:rFonts w:ascii="Times New Roman" w:hAnsi="Times New Roman"/>
          <w:b w:val="0"/>
          <w:sz w:val="22"/>
        </w:rPr>
        <w:t>Table 6. Performance of open-loop versus closed-loop map matching under 60-second GNSS blackouts.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1170"/>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Variant ID</w:t>
            </w:r>
          </w:p>
        </w:tc>
        <w:tc>
          <w:tcPr>
            <w:tcW w:type="dxa" w:w="1170"/>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Map Matching Mode</w:t>
            </w:r>
          </w:p>
        </w:tc>
        <w:tc>
          <w:tcPr>
            <w:tcW w:type="dxa" w:w="1170"/>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Heading Feedback</w:t>
            </w:r>
          </w:p>
        </w:tc>
        <w:tc>
          <w:tcPr>
            <w:tcW w:type="dxa" w:w="1170"/>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Envelope Gate</w:t>
            </w:r>
          </w:p>
        </w:tc>
        <w:tc>
          <w:tcPr>
            <w:tcW w:type="dxa" w:w="1170"/>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Mean 60-s Drift (m)</w:t>
            </w:r>
          </w:p>
        </w:tc>
        <w:tc>
          <w:tcPr>
            <w:tcW w:type="dxa" w:w="1170"/>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Heading Error (deg)</w:t>
            </w:r>
          </w:p>
        </w:tc>
        <w:tc>
          <w:tcPr>
            <w:tcW w:type="dxa" w:w="1170"/>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Delta vs. M0 (%)</w:t>
            </w:r>
          </w:p>
        </w:tc>
        <w:tc>
          <w:tcPr>
            <w:tcW w:type="dxa" w:w="1170"/>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Regression Rate (%)</w:t>
            </w:r>
          </w:p>
        </w:tc>
      </w:tr>
      <w:tr>
        <w:trPr>
          <w:cantSplit/>
        </w:trPr>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left"/>
            </w:pPr>
            <w:r/>
            <w:r>
              <w:rPr>
                <w:rFonts w:ascii="Times New Roman" w:hAnsi="Times New Roman"/>
                <w:color w:val="000000"/>
                <w:sz w:val="17"/>
              </w:rPr>
              <w:t>M0 (Baseline)</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Open-Loop / None</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Disabled</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No</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578.3</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63.4°</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+0.0%</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0.0%</w:t>
            </w:r>
          </w:p>
        </w:tc>
      </w:tr>
      <w:tr>
        <w:trPr>
          <w:cantSplit/>
        </w:trPr>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left"/>
            </w:pPr>
            <w:r/>
            <w:r>
              <w:rPr>
                <w:rFonts w:ascii="Times New Roman" w:hAnsi="Times New Roman"/>
                <w:color w:val="000000"/>
                <w:sz w:val="17"/>
              </w:rPr>
              <w:t>M1 (Shadow Map)</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Shadow 5-Gate MHT</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Disabled</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No</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578.3</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63.4°</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+0.0%</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0.0%</w:t>
            </w:r>
          </w:p>
        </w:tc>
      </w:tr>
      <w:tr>
        <w:trPr>
          <w:cantSplit/>
        </w:trPr>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left"/>
            </w:pPr>
            <w:r/>
            <w:r>
              <w:rPr>
                <w:rFonts w:ascii="Times New Roman" w:hAnsi="Times New Roman"/>
                <w:color w:val="000000"/>
                <w:sz w:val="17"/>
              </w:rPr>
              <w:t>M2 (Closed-Loop Heading)</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Heading Constraint</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Enabled (Direct)</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No</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1303.9</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73.5°</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-125.5%</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47.0%</w:t>
            </w:r>
          </w:p>
        </w:tc>
      </w:tr>
      <w:tr>
        <w:trPr>
          <w:cantSplit/>
        </w:trPr>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left"/>
            </w:pPr>
            <w:r/>
            <w:r>
              <w:rPr>
                <w:rFonts w:ascii="Times New Roman" w:hAnsi="Times New Roman"/>
                <w:color w:val="000000"/>
                <w:sz w:val="17"/>
              </w:rPr>
              <w:t>M3 (Lateral Map)</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Lateral Constraint</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Disabled</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No</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597.7</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65.5°</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-3.3%</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28.9%</w:t>
            </w:r>
          </w:p>
        </w:tc>
      </w:tr>
      <w:tr>
        <w:trPr>
          <w:cantSplit/>
        </w:trPr>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left"/>
            </w:pPr>
            <w:r/>
            <w:r>
              <w:rPr>
                <w:rFonts w:ascii="Times New Roman" w:hAnsi="Times New Roman"/>
                <w:color w:val="000000"/>
                <w:sz w:val="17"/>
              </w:rPr>
              <w:t>M4 (Joint Map)</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Joint Heading &amp; Lateral</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Enabled</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No</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829.8</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68.2°</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-43.5%</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33.7%</w:t>
            </w:r>
          </w:p>
        </w:tc>
      </w:tr>
      <w:tr>
        <w:trPr>
          <w:cantSplit/>
        </w:trPr>
        <w:tc>
          <w:tcPr>
            <w:tcW w:type="dxa" w:w="1170"/>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left"/>
            </w:pPr>
            <w:r/>
            <w:r>
              <w:rPr>
                <w:rFonts w:ascii="Times New Roman" w:hAnsi="Times New Roman"/>
                <w:color w:val="000000"/>
                <w:sz w:val="17"/>
              </w:rPr>
              <w:t>M5 (Envelope-Gated)</w:t>
            </w:r>
          </w:p>
        </w:tc>
        <w:tc>
          <w:tcPr>
            <w:tcW w:type="dxa" w:w="1170"/>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center"/>
            </w:pPr>
            <w:r/>
            <w:r>
              <w:rPr>
                <w:rFonts w:ascii="Times New Roman" w:hAnsi="Times New Roman"/>
                <w:color w:val="000000"/>
                <w:sz w:val="17"/>
              </w:rPr>
              <w:t>Joint Heading &amp; Lateral</w:t>
            </w:r>
          </w:p>
        </w:tc>
        <w:tc>
          <w:tcPr>
            <w:tcW w:type="dxa" w:w="1170"/>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center"/>
            </w:pPr>
            <w:r/>
            <w:r>
              <w:rPr>
                <w:rFonts w:ascii="Times New Roman" w:hAnsi="Times New Roman"/>
                <w:color w:val="000000"/>
                <w:sz w:val="17"/>
              </w:rPr>
              <w:t>Enabled</w:t>
            </w:r>
          </w:p>
        </w:tc>
        <w:tc>
          <w:tcPr>
            <w:tcW w:type="dxa" w:w="1170"/>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center"/>
            </w:pPr>
            <w:r/>
            <w:r>
              <w:rPr>
                <w:rFonts w:ascii="Times New Roman" w:hAnsi="Times New Roman"/>
                <w:color w:val="000000"/>
                <w:sz w:val="17"/>
              </w:rPr>
              <w:t>Yes</w:t>
            </w:r>
          </w:p>
        </w:tc>
        <w:tc>
          <w:tcPr>
            <w:tcW w:type="dxa" w:w="1170"/>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center"/>
            </w:pPr>
            <w:r/>
            <w:r>
              <w:rPr>
                <w:rFonts w:ascii="Times New Roman" w:hAnsi="Times New Roman"/>
                <w:color w:val="000000"/>
                <w:sz w:val="17"/>
              </w:rPr>
              <w:t>807.9</w:t>
            </w:r>
          </w:p>
        </w:tc>
        <w:tc>
          <w:tcPr>
            <w:tcW w:type="dxa" w:w="1170"/>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center"/>
            </w:pPr>
            <w:r/>
            <w:r>
              <w:rPr>
                <w:rFonts w:ascii="Times New Roman" w:hAnsi="Times New Roman"/>
                <w:color w:val="000000"/>
                <w:sz w:val="17"/>
              </w:rPr>
              <w:t>67.5°</w:t>
            </w:r>
          </w:p>
        </w:tc>
        <w:tc>
          <w:tcPr>
            <w:tcW w:type="dxa" w:w="1170"/>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center"/>
            </w:pPr>
            <w:r/>
            <w:r>
              <w:rPr>
                <w:rFonts w:ascii="Times New Roman" w:hAnsi="Times New Roman"/>
                <w:color w:val="000000"/>
                <w:sz w:val="17"/>
              </w:rPr>
              <w:t>-39.7%</w:t>
            </w:r>
          </w:p>
        </w:tc>
        <w:tc>
          <w:tcPr>
            <w:tcW w:type="dxa" w:w="1170"/>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center"/>
            </w:pPr>
            <w:r/>
            <w:r>
              <w:rPr>
                <w:rFonts w:ascii="Times New Roman" w:hAnsi="Times New Roman"/>
                <w:color w:val="000000"/>
                <w:sz w:val="17"/>
              </w:rPr>
              <w:t>22.9%</w:t>
            </w:r>
          </w:p>
        </w:tc>
      </w:tr>
    </w:tbl>
    <w:p>
      <w:pPr>
        <w:spacing w:before="0" w:after="0" w:line="240" w:lineRule="auto"/>
        <w:ind w:firstLine="0"/>
        <w:jc w:val="both"/>
      </w:pPr>
      <w:r>
        <w:rPr>
          <w:rFonts w:ascii="Times New Roman" w:hAnsi="Times New Roman"/>
          <w:color w:val="000000"/>
          <w:sz w:val="24"/>
        </w:rPr>
        <w:t xml:space="preserve">Protocol Note: Delta vs. M0 is defined as </w:t>
      </w:r>
      <m:oMath>
        <m:r>
          <m:t>(</m:t>
        </m:r>
        <m:sSub>
          <m:e>
            <m:r>
              <m:t>M</m:t>
            </m:r>
          </m:e>
          <m:sub>
            <m:r>
              <m:t>0</m:t>
            </m:r>
          </m:sub>
        </m:sSub>
        <m:r>
          <m:t>−</m:t>
        </m:r>
        <m:sSub>
          <m:e>
            <m:r>
              <m:t>M</m:t>
            </m:r>
          </m:e>
          <m:sub>
            <m:r>
              <m:t>i</m:t>
            </m:r>
          </m:sub>
        </m:sSub>
        <m:r>
          <m:t>)/</m:t>
        </m:r>
        <m:sSub>
          <m:e>
            <m:r>
              <m:t>M</m:t>
            </m:r>
          </m:e>
          <m:sub>
            <m:r>
              <m:t>0</m:t>
            </m:r>
          </m:sub>
        </m:sSub>
      </m:oMath>
      <w:r>
        <w:rPr>
          <w:rFonts w:ascii="Times New Roman" w:hAnsi="Times New Roman"/>
          <w:color w:val="000000"/>
          <w:sz w:val="24"/>
        </w:rPr>
        <w:t>; therefore, negative percentage values indicate performance degradation (increased position drift) relative to open-loop baseline M0. A regression was counted when the closed-loop variant produced greater 60-s position error than the open-loop M0 baseline by more than 0.5 m (</w:t>
      </w:r>
      <m:oMath>
        <m:sSub>
          <m:e>
            <m:r>
              <m:t>E</m:t>
            </m:r>
          </m:e>
          <m:sub>
            <m:r>
              <m:t>p,</m:t>
            </m:r>
            <m:r>
              <m:rPr>
                <m:nor/>
              </m:rPr>
              <m:t>map</m:t>
            </m:r>
          </m:sub>
        </m:sSub>
        <m:r>
          <m:t>&gt;</m:t>
        </m:r>
        <m:sSub>
          <m:e>
            <m:r>
              <m:t>E</m:t>
            </m:r>
          </m:e>
          <m:sub>
            <m:r>
              <m:t>p,</m:t>
            </m:r>
            <m:r>
              <m:rPr>
                <m:nor/>
              </m:rPr>
              <m:t>M0</m:t>
            </m:r>
          </m:sub>
        </m:sSub>
        <m:r>
          <m:t>+0.5</m:t>
        </m:r>
        <m:r>
          <m:rPr>
            <m:nor/>
          </m:rPr>
          <m:t> m</m:t>
        </m:r>
      </m:oMath>
      <w:r>
        <w:rPr>
          <w:rFonts w:ascii="Times New Roman" w:hAnsi="Times New Roman"/>
          <w:color w:val="000000"/>
          <w:sz w:val="24"/>
        </w:rPr>
        <w:t>) for the corresponding evaluation window. Over the 83 evaluation windows, M2 experienced regressions in 39 windows (47.0%), M3 in 24 windows (28.9%), M4 in 28 windows (33.7%), and M5 in 19 windows (22.9%).</w:t>
      </w:r>
    </w:p>
    <w:p>
      <w:pPr>
        <w:spacing w:before="0" w:after="0" w:line="240" w:lineRule="auto"/>
        <w:ind w:firstLine="0"/>
        <w:jc w:val="both"/>
      </w:pPr>
      <w:r>
        <w:rPr>
          <w:rFonts w:ascii="Times New Roman" w:hAnsi="Times New Roman"/>
          <w:color w:val="000000"/>
          <w:sz w:val="24"/>
        </w:rPr>
        <w:t>Feeding candidate road link azimuth directly into the Kalman filter heading state increased mean 60-second drift from 578.30 metres to 1303.90 metres, representing a 125.47% error increase. This failure occurred because during turns at complex intersections or curved interchanges, dead reckoning drift caused the map matcher to latch onto parallel frontage roads or incorrect branch links. The filter accepted the incorrect link azimuth as a high-confidence heading observation, locking the dead reckoning trajectory into divergence.</w:t>
      </w:r>
    </w:p>
    <w:p>
      <w:pPr>
        <w:spacing w:before="0" w:after="0" w:line="240" w:lineRule="auto"/>
        <w:ind w:firstLine="0"/>
        <w:jc w:val="both"/>
      </w:pPr>
      <w:r>
        <w:rPr>
          <w:rFonts w:ascii="Times New Roman" w:hAnsi="Times New Roman"/>
          <w:color w:val="000000"/>
          <w:sz w:val="24"/>
        </w:rPr>
        <w:t>Figure 5 shows the breakdown of closed-loop map matching during intersection manoeuvres.</w:t>
      </w:r>
    </w:p>
    <w:p>
      <w:pPr>
        <w:spacing w:before="0" w:after="0" w:line="240" w:lineRule="auto"/>
        <w:jc w:val="center"/>
      </w:pPr>
      <w:r>
        <w:drawing>
          <wp:inline xmlns:a="http://schemas.openxmlformats.org/drawingml/2006/main" xmlns:pic="http://schemas.openxmlformats.org/drawingml/2006/picture">
            <wp:extent cx="5029200" cy="2276341"/>
            <wp:docPr id="5" name="Picture 5"/>
            <wp:cNvGraphicFramePr>
              <a:graphicFrameLocks noChangeAspect="1"/>
            </wp:cNvGraphicFramePr>
            <a:graphic>
              <a:graphicData uri="http://schemas.openxmlformats.org/drawingml/2006/picture">
                <pic:pic>
                  <pic:nvPicPr>
                    <pic:cNvPr id="0" name="Figure_05.png"/>
                    <pic:cNvPicPr/>
                  </pic:nvPicPr>
                  <pic:blipFill>
                    <a:blip r:embed="rId13"/>
                    <a:stretch>
                      <a:fillRect/>
                    </a:stretch>
                  </pic:blipFill>
                  <pic:spPr>
                    <a:xfrm>
                      <a:off x="0" y="0"/>
                      <a:ext cx="5029200" cy="2276341"/>
                    </a:xfrm>
                    <a:prstGeom prst="rect"/>
                  </pic:spPr>
                </pic:pic>
              </a:graphicData>
            </a:graphic>
          </wp:inline>
        </w:drawing>
      </w:r>
    </w:p>
    <w:p>
      <w:pPr>
        <w:spacing w:before="0" w:after="0" w:line="240" w:lineRule="auto"/>
        <w:jc w:val="both"/>
      </w:pPr>
      <w:r>
        <w:rPr>
          <w:rFonts w:ascii="Times New Roman" w:hAnsi="Times New Roman"/>
          <w:i/>
          <w:color w:val="000000"/>
          <w:sz w:val="20"/>
        </w:rPr>
        <w:t>Figure 5. Breakdown of closed-loop road network map matching during a 60-second satellite blackout: candidate road link ambiguity and heading injection cause unrecoverable trajectory divergence (+125.47% degradation).</w:t>
      </w:r>
    </w:p>
    <w:p>
      <w:pPr>
        <w:keepNext/>
        <w:spacing w:before="0" w:after="0" w:line="240" w:lineRule="auto"/>
        <w:jc w:val="left"/>
      </w:pPr>
      <w:r>
        <w:rPr>
          <w:rFonts w:ascii="Times New Roman" w:hAnsi="Times New Roman"/>
          <w:i/>
          <w:sz w:val="24"/>
        </w:rPr>
        <w:t>4.6. Highway cruise boundary</w:t>
      </w:r>
    </w:p>
    <w:p>
      <w:pPr>
        <w:spacing w:before="0" w:after="0" w:line="240" w:lineRule="auto"/>
        <w:ind w:firstLine="0"/>
        <w:jc w:val="both"/>
      </w:pPr>
      <w:r>
        <w:rPr>
          <w:rFonts w:ascii="Times New Roman" w:hAnsi="Times New Roman"/>
          <w:color w:val="000000"/>
          <w:sz w:val="24"/>
        </w:rPr>
        <w:t>Evaluating the learned TCN on high-speed motorway route V-Vfa02 revealed a distinct performance boundary under steady-state highway cruising (</w:t>
      </w:r>
      <m:oMath>
        <m:r>
          <m:t>v≥25</m:t>
        </m:r>
        <m:r>
          <m:rPr>
            <m:nor/>
          </m:rPr>
          <m:t> m/s</m:t>
        </m:r>
      </m:oMath>
      <w:r>
        <w:rPr>
          <w:rFonts w:ascii="Times New Roman" w:hAnsi="Times New Roman"/>
          <w:color w:val="000000"/>
          <w:sz w:val="24"/>
        </w:rPr>
        <w:t xml:space="preserve">, </w:t>
      </w:r>
      <m:oMath>
        <m:r>
          <m:t>≥90</m:t>
        </m:r>
        <m:r>
          <m:rPr>
            <m:nor/>
          </m:rPr>
          <m:t> km/h</m:t>
        </m:r>
      </m:oMath>
      <w:r>
        <w:rPr>
          <w:rFonts w:ascii="Times New Roman" w:hAnsi="Times New Roman"/>
          <w:color w:val="000000"/>
          <w:sz w:val="24"/>
        </w:rPr>
        <w:t>, 90–120 km/h). During unaccelerated cruising, longitudinal specific force and yaw rates remain near zero (</w:t>
      </w:r>
      <m:oMath>
        <m:sSub>
          <m:e>
            <m:r>
              <m:t>a</m:t>
            </m:r>
          </m:e>
          <m:sub>
            <m:r>
              <m:rPr>
                <m:nor/>
              </m:rPr>
              <m:t>lon</m:t>
            </m:r>
          </m:sub>
        </m:sSub>
        <m:r>
          <m:t>≈0,</m:t>
        </m:r>
        <m:sSub>
          <m:e>
            <m:r>
              <m:t>ω</m:t>
            </m:r>
          </m:e>
          <m:sub>
            <m:r>
              <m:t>z</m:t>
            </m:r>
          </m:sub>
        </m:sSub>
        <m:r>
          <m:t>≈0</m:t>
        </m:r>
      </m:oMath>
      <w:r>
        <w:rPr>
          <w:rFonts w:ascii="Times New Roman" w:hAnsi="Times New Roman"/>
          <w:color w:val="000000"/>
          <w:sz w:val="24"/>
        </w:rPr>
        <w:t>).</w:t>
      </w:r>
    </w:p>
    <w:p>
      <w:pPr>
        <w:spacing w:before="0" w:after="0" w:line="240" w:lineRule="auto"/>
        <w:ind w:firstLine="0"/>
        <w:jc w:val="both"/>
      </w:pPr>
      <w:r>
        <w:rPr>
          <w:rFonts w:ascii="Times New Roman" w:hAnsi="Times New Roman"/>
          <w:color w:val="000000"/>
          <w:sz w:val="24"/>
        </w:rPr>
        <w:t>Under these conditions, instantaneous inertial feature distributions at 80 km/h and 110 km/h exhibit weak statistical separability, yielding a receiver operating characteristic area under the curve (ROC-AUC) of 0.625. Consequently, the learned temporal estimator regresses toward the training set mean speed, producing an average negative bias of approximately -3.5 m/s (</w:t>
      </w:r>
      <m:oMath>
        <m:r>
          <m:t>r=−0.4866</m:t>
        </m:r>
      </m:oMath>
      <w:r>
        <w:rPr>
          <w:rFonts w:ascii="Times New Roman" w:hAnsi="Times New Roman"/>
          <w:color w:val="000000"/>
          <w:sz w:val="24"/>
        </w:rPr>
        <w:t>) on high-speed highway segments.</w:t>
      </w:r>
    </w:p>
    <w:p>
      <w:pPr>
        <w:spacing w:before="0" w:after="0" w:line="240" w:lineRule="auto"/>
        <w:ind w:firstLine="0"/>
        <w:jc w:val="both"/>
      </w:pPr>
      <w:r>
        <w:rPr>
          <w:rFonts w:ascii="Times New Roman" w:hAnsi="Times New Roman"/>
          <w:color w:val="000000"/>
          <w:sz w:val="24"/>
        </w:rPr>
        <w:t>Figure 6 illustrates statistical feature overlap and speed regression residuals during steady-state motorway cruising.</w:t>
      </w:r>
    </w:p>
    <w:p>
      <w:pPr>
        <w:spacing w:before="0" w:after="0" w:line="240" w:lineRule="auto"/>
        <w:jc w:val="center"/>
      </w:pPr>
      <w:r>
        <w:drawing>
          <wp:inline xmlns:a="http://schemas.openxmlformats.org/drawingml/2006/main" xmlns:pic="http://schemas.openxmlformats.org/drawingml/2006/picture">
            <wp:extent cx="5029200" cy="2179749"/>
            <wp:docPr id="6" name="Picture 6"/>
            <wp:cNvGraphicFramePr>
              <a:graphicFrameLocks noChangeAspect="1"/>
            </wp:cNvGraphicFramePr>
            <a:graphic>
              <a:graphicData uri="http://schemas.openxmlformats.org/drawingml/2006/picture">
                <pic:pic>
                  <pic:nvPicPr>
                    <pic:cNvPr id="0" name="Figure_06.png"/>
                    <pic:cNvPicPr/>
                  </pic:nvPicPr>
                  <pic:blipFill>
                    <a:blip r:embed="rId14"/>
                    <a:stretch>
                      <a:fillRect/>
                    </a:stretch>
                  </pic:blipFill>
                  <pic:spPr>
                    <a:xfrm>
                      <a:off x="0" y="0"/>
                      <a:ext cx="5029200" cy="2179749"/>
                    </a:xfrm>
                    <a:prstGeom prst="rect"/>
                  </pic:spPr>
                </pic:pic>
              </a:graphicData>
            </a:graphic>
          </wp:inline>
        </w:drawing>
      </w:r>
    </w:p>
    <w:p>
      <w:pPr>
        <w:spacing w:before="0" w:after="0" w:line="240" w:lineRule="auto"/>
        <w:jc w:val="both"/>
      </w:pPr>
      <w:r>
        <w:rPr>
          <w:rFonts w:ascii="Times New Roman" w:hAnsi="Times New Roman"/>
          <w:i/>
          <w:color w:val="000000"/>
          <w:sz w:val="20"/>
        </w:rPr>
        <w:t>Figure 6. Statistical feature separability and regression bias during steady-state motorway cruising (</w:t>
      </w:r>
      <m:oMath>
        <m:r>
          <m:t>v≥25</m:t>
        </m:r>
        <m:r>
          <m:rPr>
            <m:nor/>
          </m:rPr>
          <m:t> m/s</m:t>
        </m:r>
      </m:oMath>
      <w:r>
        <w:rPr>
          <w:rFonts w:ascii="Times New Roman" w:hAnsi="Times New Roman"/>
          <w:i/>
          <w:color w:val="000000"/>
          <w:sz w:val="20"/>
        </w:rPr>
        <w:t>): near-zero specific force leaves 80 km/h vs 110 km/h cruising weakly separable (ROC-AUC = 0.625), producing an average negative prediction bias of -3.5 m/s (</w:t>
      </w:r>
      <m:oMath>
        <m:r>
          <m:t>r=−0.4866</m:t>
        </m:r>
      </m:oMath>
      <w:r>
        <w:rPr>
          <w:rFonts w:ascii="Times New Roman" w:hAnsi="Times New Roman"/>
          <w:i/>
          <w:color w:val="000000"/>
          <w:sz w:val="20"/>
        </w:rPr>
        <w:t>).</w:t>
      </w:r>
    </w:p>
    <w:p>
      <w:pPr>
        <w:keepNext/>
        <w:spacing w:before="0" w:after="0" w:line="240" w:lineRule="auto"/>
        <w:jc w:val="left"/>
      </w:pPr>
      <w:r>
        <w:rPr>
          <w:rFonts w:ascii="Times New Roman" w:hAnsi="Times New Roman"/>
          <w:i/>
          <w:sz w:val="24"/>
        </w:rPr>
        <w:t>4.7. Vibration analysis</w:t>
      </w:r>
    </w:p>
    <w:p>
      <w:pPr>
        <w:spacing w:before="0" w:after="0" w:line="240" w:lineRule="auto"/>
        <w:ind w:firstLine="0"/>
        <w:jc w:val="both"/>
      </w:pPr>
      <w:r>
        <w:rPr>
          <w:rFonts w:ascii="Times New Roman" w:hAnsi="Times New Roman"/>
          <w:color w:val="000000"/>
          <w:sz w:val="24"/>
        </w:rPr>
        <w:t>To test whether vehicle engine and chassis vibrations contain a speed-dependent spectral signature that could aid forward velocity estimation, a spectral audit was performed across all 64 passenger-car trips, analyzing over 450,000 one-second windows.</w:t>
      </w:r>
    </w:p>
    <w:p>
      <w:pPr>
        <w:spacing w:before="0" w:after="0" w:line="240" w:lineRule="auto"/>
        <w:ind w:firstLine="0"/>
        <w:jc w:val="both"/>
      </w:pPr>
      <w:r>
        <w:rPr>
          <w:rFonts w:ascii="Times New Roman" w:hAnsi="Times New Roman"/>
          <w:color w:val="000000"/>
          <w:sz w:val="24"/>
        </w:rPr>
        <w:t xml:space="preserve">Across the complete corpus, the correlation between dominant inertial spectral frequency and reference vehicle speed was </w:t>
      </w:r>
      <m:oMath>
        <m:r>
          <m:t>r=−0.032</m:t>
        </m:r>
      </m:oMath>
      <w:r>
        <w:rPr>
          <w:rFonts w:ascii="Times New Roman" w:hAnsi="Times New Roman"/>
          <w:color w:val="000000"/>
          <w:sz w:val="24"/>
        </w:rPr>
        <w:t xml:space="preserve"> (Pearson) and </w:t>
      </w:r>
      <m:oMath>
        <m:r>
          <m:t>ρ=−0.028</m:t>
        </m:r>
      </m:oMath>
      <w:r>
        <w:rPr>
          <w:rFonts w:ascii="Times New Roman" w:hAnsi="Times New Roman"/>
          <w:color w:val="000000"/>
          <w:sz w:val="24"/>
        </w:rPr>
        <w:t xml:space="preserve"> (Spearman). While a consistent spectral peak was observed between 2.2 and 2.5 Hz, this peak remained invariant across speeds from 0 to 120 km/h. Under the evaluated 10 Hz feature construction, no reliable speed dependence was identified in the dominant vibration frequency, with the ~2.2–2.5 Hz component being consistent with low-frequency vehicle-body/chassis dynamics; the physical mechanism was not directly identified.</w:t>
      </w:r>
    </w:p>
    <w:p>
      <w:pPr>
        <w:spacing w:before="0" w:after="0" w:line="240" w:lineRule="auto"/>
        <w:ind w:firstLine="0"/>
        <w:jc w:val="both"/>
      </w:pPr>
      <w:r>
        <w:rPr>
          <w:rFonts w:ascii="Times New Roman" w:hAnsi="Times New Roman"/>
          <w:color w:val="000000"/>
          <w:sz w:val="24"/>
        </w:rPr>
        <w:t>Figure 7 shows the acceleration power spectral density across vehicle speed bands and the cross-trip correlation between dominant frequency and vehicle speed.</w:t>
      </w:r>
    </w:p>
    <w:p>
      <w:pPr>
        <w:spacing w:before="0" w:after="0" w:line="240" w:lineRule="auto"/>
        <w:jc w:val="center"/>
      </w:pPr>
      <w:r>
        <w:drawing>
          <wp:inline xmlns:a="http://schemas.openxmlformats.org/drawingml/2006/main" xmlns:pic="http://schemas.openxmlformats.org/drawingml/2006/picture">
            <wp:extent cx="5303520" cy="2234277"/>
            <wp:docPr id="7" name="Picture 7"/>
            <wp:cNvGraphicFramePr>
              <a:graphicFrameLocks noChangeAspect="1"/>
            </wp:cNvGraphicFramePr>
            <a:graphic>
              <a:graphicData uri="http://schemas.openxmlformats.org/drawingml/2006/picture">
                <pic:pic>
                  <pic:nvPicPr>
                    <pic:cNvPr id="0" name="Figure_07.png"/>
                    <pic:cNvPicPr/>
                  </pic:nvPicPr>
                  <pic:blipFill>
                    <a:blip r:embed="rId15"/>
                    <a:stretch>
                      <a:fillRect/>
                    </a:stretch>
                  </pic:blipFill>
                  <pic:spPr>
                    <a:xfrm>
                      <a:off x="0" y="0"/>
                      <a:ext cx="5303520" cy="2234277"/>
                    </a:xfrm>
                    <a:prstGeom prst="rect"/>
                  </pic:spPr>
                </pic:pic>
              </a:graphicData>
            </a:graphic>
          </wp:inline>
        </w:drawing>
      </w:r>
    </w:p>
    <w:p>
      <w:pPr>
        <w:spacing w:before="0" w:after="0" w:line="240" w:lineRule="auto"/>
        <w:jc w:val="both"/>
      </w:pPr>
      <w:r>
        <w:rPr>
          <w:rFonts w:ascii="Times New Roman" w:hAnsi="Times New Roman"/>
          <w:i/>
          <w:color w:val="000000"/>
          <w:sz w:val="20"/>
        </w:rPr>
        <w:t>Figure 7. Spectral vibration speed audit across 64 passenger-car trips (&gt;450,000 one-second windows): dominant inertial vibration frequency (~2.2–2.5 Hz) remains invariant to vehicle speed (</w:t>
      </w:r>
      <m:oMath>
        <m:r>
          <m:t>r=−0.032,ρ=−0.028</m:t>
        </m:r>
      </m:oMath>
      <w:r>
        <w:rPr>
          <w:rFonts w:ascii="Times New Roman" w:hAnsi="Times New Roman"/>
          <w:i/>
          <w:color w:val="000000"/>
          <w:sz w:val="20"/>
        </w:rPr>
        <w:t>), consistent with low-frequency vehicle-body/chassis dynamics; the physical mechanism was not directly identified. Panel (a) shows a motorway-specific spectral example with a peak near 2.9 Hz; the corpus-wide dominant-frequency census in panel (b) centres near 2.2–2.5 Hz across all 64 trips.</w:t>
      </w:r>
    </w:p>
    <w:p>
      <w:pPr>
        <w:keepNext/>
        <w:spacing w:before="0" w:after="0" w:line="240" w:lineRule="auto"/>
        <w:jc w:val="left"/>
      </w:pPr>
      <w:r>
        <w:rPr>
          <w:rFonts w:ascii="Times New Roman" w:hAnsi="Times New Roman"/>
          <w:i/>
          <w:sz w:val="24"/>
        </w:rPr>
        <w:t>4.8. Pedestrian distribution shift</w:t>
      </w:r>
    </w:p>
    <w:p>
      <w:pPr>
        <w:spacing w:before="0" w:after="0" w:line="240" w:lineRule="auto"/>
        <w:ind w:firstLine="0"/>
        <w:jc w:val="both"/>
      </w:pPr>
      <w:r>
        <w:rPr>
          <w:rFonts w:ascii="Times New Roman" w:hAnsi="Times New Roman"/>
          <w:color w:val="000000"/>
          <w:sz w:val="24"/>
        </w:rPr>
        <w:t>To assess the vulnerability of the vehicle-trained TCN to out-of-distribution dynamic movement, handheld pedestrian walking trials were conducted with a consumer smartphone.</w:t>
      </w:r>
    </w:p>
    <w:p>
      <w:pPr>
        <w:spacing w:before="0" w:after="0" w:line="240" w:lineRule="auto"/>
        <w:ind w:firstLine="0"/>
        <w:jc w:val="both"/>
      </w:pPr>
      <w:r>
        <w:rPr>
          <w:rFonts w:ascii="Times New Roman" w:hAnsi="Times New Roman"/>
          <w:color w:val="000000"/>
          <w:sz w:val="24"/>
        </w:rPr>
        <w:t>When the vehicle-trained model was evaluated on pedestrian walking data, predicted speed escalated to an anomalous peak of 71.66 m/s (257.98 km/h). Input feature channel ablation revealed that human arm swing produces high-frequency rotational yaw rates reaching 3.81 rad/s (+26.08 standard deviations above the vehicle training corpus maximum of 0.40 rad/s). The learned regression mapping transformed this out-of-distribution input into extreme forward-velocity predictions. When all gyroscope channels were ablated from the model input, the peak prediction dropped to 27.71 m/s (with individual axis ablation yielding 34.9 m/s for yaw, 52.2 m/s for pitch, and 29.9 m/s for roll), indicating that rotational arm-swing dynamics were the primary contributor to the observed out-of-distribution failure.</w:t>
      </w:r>
    </w:p>
    <w:p>
      <w:pPr>
        <w:spacing w:before="0" w:after="0" w:line="240" w:lineRule="auto"/>
        <w:ind w:firstLine="0"/>
        <w:jc w:val="both"/>
      </w:pPr>
      <w:r>
        <w:rPr>
          <w:rFonts w:ascii="Times New Roman" w:hAnsi="Times New Roman"/>
          <w:color w:val="000000"/>
          <w:sz w:val="24"/>
        </w:rPr>
        <w:t>Figure 8 depicts the pedestrian out-of-distribution velocity response alongside Android on-device execution benchmarks.</w:t>
      </w:r>
    </w:p>
    <w:p>
      <w:pPr>
        <w:spacing w:before="0" w:after="0" w:line="240" w:lineRule="auto"/>
        <w:jc w:val="center"/>
      </w:pPr>
      <w:r>
        <w:drawing>
          <wp:inline xmlns:a="http://schemas.openxmlformats.org/drawingml/2006/main" xmlns:pic="http://schemas.openxmlformats.org/drawingml/2006/picture">
            <wp:extent cx="4937760" cy="3952558"/>
            <wp:docPr id="8" name="Picture 8"/>
            <wp:cNvGraphicFramePr>
              <a:graphicFrameLocks noChangeAspect="1"/>
            </wp:cNvGraphicFramePr>
            <a:graphic>
              <a:graphicData uri="http://schemas.openxmlformats.org/drawingml/2006/picture">
                <pic:pic>
                  <pic:nvPicPr>
                    <pic:cNvPr id="0" name="Figure_08.png"/>
                    <pic:cNvPicPr/>
                  </pic:nvPicPr>
                  <pic:blipFill>
                    <a:blip r:embed="rId16"/>
                    <a:stretch>
                      <a:fillRect/>
                    </a:stretch>
                  </pic:blipFill>
                  <pic:spPr>
                    <a:xfrm>
                      <a:off x="0" y="0"/>
                      <a:ext cx="4937760" cy="3952558"/>
                    </a:xfrm>
                    <a:prstGeom prst="rect"/>
                  </pic:spPr>
                </pic:pic>
              </a:graphicData>
            </a:graphic>
          </wp:inline>
        </w:drawing>
      </w:r>
    </w:p>
    <w:p>
      <w:pPr>
        <w:spacing w:before="0" w:after="0" w:line="240" w:lineRule="auto"/>
        <w:jc w:val="both"/>
      </w:pPr>
      <w:r>
        <w:rPr>
          <w:rFonts w:ascii="Times New Roman" w:hAnsi="Times New Roman"/>
          <w:i/>
          <w:color w:val="000000"/>
          <w:sz w:val="20"/>
        </w:rPr>
        <w:t>Figure 8. Pedestrian out-of-distribution dynamic response (71.66 m/s spike induced by +26.08</w:t>
      </w:r>
      <m:oMath>
        <m:r>
          <m:t>σ</m:t>
        </m:r>
      </m:oMath>
      <w:r>
        <w:rPr>
          <w:rFonts w:ascii="Times New Roman" w:hAnsi="Times New Roman"/>
          <w:i/>
          <w:color w:val="000000"/>
          <w:sz w:val="20"/>
        </w:rPr>
        <w:t xml:space="preserve"> arm-swing yaw rates) alongside Android on-device execution benchmarks on Google Pixel 7a (mean latency 9.15 ms, 99th percentile 13.89 ms).</w:t>
      </w:r>
    </w:p>
    <w:p>
      <w:pPr>
        <w:keepNext/>
        <w:spacing w:before="0" w:after="0" w:line="240" w:lineRule="auto"/>
        <w:jc w:val="left"/>
      </w:pPr>
      <w:r>
        <w:rPr>
          <w:rFonts w:ascii="Times New Roman" w:hAnsi="Times New Roman"/>
          <w:i/>
          <w:sz w:val="24"/>
        </w:rPr>
        <w:t>4.9. Android deployment</w:t>
      </w:r>
    </w:p>
    <w:p>
      <w:pPr>
        <w:spacing w:before="0" w:after="0" w:line="240" w:lineRule="auto"/>
        <w:ind w:firstLine="0"/>
        <w:jc w:val="both"/>
      </w:pPr>
      <w:r>
        <w:rPr>
          <w:rFonts w:ascii="Times New Roman" w:hAnsi="Times New Roman"/>
          <w:color w:val="000000"/>
          <w:sz w:val="24"/>
        </w:rPr>
        <w:t>The native Android deployment was evaluated on a Google Pixel 7a via golden telemetry replay across 10,000 synchronized epochs. On-device ONNX inference required 4.2 to 7.8 ms per 100-sample window, while the 15-state Java ESKF required 0.8 to 1.4 ms per epoch. Total measured computational latency averaged 9.15 ms per epoch (with a 99th-percentile latency of 13.89 ms), remaining well within the nominal 100 ms budget for 10 Hz real-time processing.</w:t>
      </w:r>
    </w:p>
    <w:p>
      <w:pPr>
        <w:spacing w:before="0" w:after="0" w:line="240" w:lineRule="auto"/>
        <w:ind w:firstLine="0"/>
        <w:jc w:val="both"/>
      </w:pPr>
      <w:r>
        <w:rPr>
          <w:rFonts w:ascii="Times New Roman" w:hAnsi="Times New Roman"/>
          <w:color w:val="000000"/>
          <w:sz w:val="24"/>
        </w:rPr>
        <w:t>Cross-platform parity analysis between the Android Java/EJML implementation and the offline Python 64-bit reference engine demonstrated close numerical agreement over a 300-second continuous replay: maximum position discrepancy was 0.24177 metres, velocity discrepancy was 0.02117 m/s, and heading discrepancy was 0.01829 degrees.</w:t>
      </w:r>
    </w:p>
    <w:p>
      <w:pPr>
        <w:spacing w:before="0" w:after="0" w:line="240" w:lineRule="auto"/>
        <w:ind w:firstLine="0"/>
        <w:jc w:val="both"/>
      </w:pPr>
      <w:r>
        <w:rPr>
          <w:rFonts w:ascii="Times New Roman" w:hAnsi="Times New Roman"/>
          <w:color w:val="000000"/>
          <w:sz w:val="24"/>
        </w:rPr>
        <w:t>The deployment audit also revealed that although the phone IMU hardware sampled internally at ~400 Hz, Android operating system inter-process communication dispatch yielded an average navigation callback rate of 8.63 Hz with inter-epoch intervals averaging 115.8 ms (</w:t>
      </w:r>
      <m:oMath>
        <m:r>
          <m:t>Δt∈[104,127]</m:t>
        </m:r>
        <m:r>
          <m:rPr>
            <m:nor/>
          </m:rPr>
          <m:t> ms</m:t>
        </m:r>
      </m:oMath>
      <w:r>
        <w:rPr>
          <w:rFonts w:ascii="Times New Roman" w:hAnsi="Times New Roman"/>
          <w:color w:val="000000"/>
          <w:sz w:val="24"/>
        </w:rPr>
        <w:t>). Integrating dynamic hardware nanosecond timestamps was found to be necessary to prevent time-scale distortion.</w:t>
      </w:r>
    </w:p>
    <w:p>
      <w:pPr>
        <w:keepNext/>
        <w:spacing w:before="0" w:after="0" w:line="240" w:lineRule="auto"/>
        <w:jc w:val="left"/>
      </w:pPr>
      <w:r>
        <w:rPr>
          <w:rFonts w:ascii="Times New Roman" w:hAnsi="Times New Roman"/>
          <w:i/>
          <w:sz w:val="24"/>
        </w:rPr>
        <w:t>4.10. Final benchmark</w:t>
      </w:r>
    </w:p>
    <w:p>
      <w:pPr>
        <w:spacing w:before="0" w:after="0" w:line="240" w:lineRule="auto"/>
        <w:ind w:firstLine="0"/>
        <w:jc w:val="both"/>
      </w:pPr>
      <w:r>
        <w:rPr>
          <w:rFonts w:ascii="Times New Roman" w:hAnsi="Times New Roman"/>
          <w:color w:val="000000"/>
          <w:sz w:val="24"/>
        </w:rPr>
        <w:t>Table 7 summarizes the final 60-second blackout benchmark results across the 13 usable held-out test routes, grouped by road category. Comprehensive route-by-route metrics for each individual trip are provided in Supplementary Table S1.</w:t>
      </w:r>
    </w:p>
    <w:p>
      <w:pPr>
        <w:keepNext/>
        <w:spacing w:before="0" w:after="0" w:line="240" w:lineRule="auto"/>
        <w:jc w:val="left"/>
      </w:pPr>
      <w:r>
        <w:rPr>
          <w:rFonts w:ascii="Times New Roman" w:hAnsi="Times New Roman"/>
          <w:b w:val="0"/>
          <w:sz w:val="22"/>
        </w:rPr>
        <w:t>Table 7. Final 60-second GNSS blackout evaluation across 13 usable held-out test trips by road category.</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1170"/>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Road Category</w:t>
            </w:r>
          </w:p>
        </w:tc>
        <w:tc>
          <w:tcPr>
            <w:tcW w:type="dxa" w:w="1170"/>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Trips (N)</w:t>
            </w:r>
          </w:p>
        </w:tc>
        <w:tc>
          <w:tcPr>
            <w:tcW w:type="dxa" w:w="1170"/>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Mean Ref Distance (m)</w:t>
            </w:r>
          </w:p>
        </w:tc>
        <w:tc>
          <w:tcPr>
            <w:tcW w:type="dxa" w:w="1170"/>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Pure Strapdown Drift (m)</w:t>
            </w:r>
          </w:p>
        </w:tc>
        <w:tc>
          <w:tcPr>
            <w:tcW w:type="dxa" w:w="1170"/>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Pure Macro Drift (%)</w:t>
            </w:r>
          </w:p>
        </w:tc>
        <w:tc>
          <w:tcPr>
            <w:tcW w:type="dxa" w:w="1170"/>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Adaptive Fusion Drift (m)</w:t>
            </w:r>
          </w:p>
        </w:tc>
        <w:tc>
          <w:tcPr>
            <w:tcW w:type="dxa" w:w="1170"/>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Adaptive Macro Drift (%)</w:t>
            </w:r>
          </w:p>
        </w:tc>
        <w:tc>
          <w:tcPr>
            <w:tcW w:type="dxa" w:w="1170"/>
            <w:vAlign w:val="center"/>
            <w:tcMar>
              <w:top w:w="20" w:type="dxa"/>
              <w:bottom w:w="20" w:type="dxa"/>
              <w:left w:w="50" w:type="dxa"/>
              <w:right w:w="50" w:type="dxa"/>
            </w:tcMar>
            <w:tcBorders>
              <w:top w:sz="12" w:val="single" w:color="000000"/>
              <w:left w:val="none"/>
              <w:bottom w:sz="6" w:val="single" w:color="000000"/>
              <w:right w:val="none"/>
            </w:tcBorders>
          </w:tcPr>
          <w:p>
            <w:pPr>
              <w:spacing w:line="240" w:lineRule="auto" w:after="0" w:before="0"/>
              <w:jc w:val="center"/>
            </w:pPr>
            <w:r>
              <w:rPr>
                <w:b/>
              </w:rPr>
            </w:r>
            <w:r>
              <w:rPr>
                <w:rFonts w:ascii="Times New Roman" w:hAnsi="Times New Roman"/>
                <w:color w:val="000000"/>
                <w:sz w:val="17"/>
              </w:rPr>
              <w:t>SIH Pass Count (&lt;10%)</w:t>
            </w:r>
          </w:p>
        </w:tc>
      </w:tr>
      <w:tr>
        <w:trPr>
          <w:cantSplit/>
        </w:trPr>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left"/>
            </w:pPr>
            <w:r/>
            <w:r>
              <w:rPr>
                <w:rFonts w:ascii="Times New Roman" w:hAnsi="Times New Roman"/>
                <w:color w:val="000000"/>
                <w:sz w:val="17"/>
              </w:rPr>
              <w:t>Suburban Town (Vta)</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7</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575.1</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301.6</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127.4%</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95.1</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21.6%</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 / 7 (14.3%)</w:t>
            </w:r>
          </w:p>
        </w:tc>
      </w:tr>
      <w:tr>
        <w:trPr>
          <w:cantSplit/>
        </w:trPr>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left"/>
            </w:pPr>
            <w:r/>
            <w:r>
              <w:rPr>
                <w:rFonts w:ascii="Times New Roman" w:hAnsi="Times New Roman"/>
                <w:color w:val="000000"/>
                <w:sz w:val="17"/>
              </w:rPr>
              <w:t>Winding Mountain (Vw)</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4</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1293.9</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446.1</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39.7%</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108.2</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9.7%</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2 / 4 (50.0%)</w:t>
            </w:r>
          </w:p>
        </w:tc>
      </w:tr>
      <w:tr>
        <w:trPr>
          <w:cantSplit/>
        </w:trPr>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left"/>
            </w:pPr>
            <w:r/>
            <w:r>
              <w:rPr>
                <w:rFonts w:ascii="Times New Roman" w:hAnsi="Times New Roman"/>
                <w:color w:val="000000"/>
                <w:sz w:val="17"/>
              </w:rPr>
              <w:t>High-Speed Motorway (V-Vfa)</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1460.3</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313.9</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25.4%</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157.2</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11.7%</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0 / 1 (0.0%)</w:t>
            </w:r>
          </w:p>
        </w:tc>
      </w:tr>
      <w:tr>
        <w:trPr>
          <w:cantSplit/>
        </w:trPr>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left"/>
            </w:pPr>
            <w:r/>
            <w:r>
              <w:rPr>
                <w:rFonts w:ascii="Times New Roman" w:hAnsi="Times New Roman"/>
                <w:color w:val="000000"/>
                <w:sz w:val="17"/>
              </w:rPr>
              <w:t>Stationary Control (Vw15)</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1.3</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5.6</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450.5%</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0.82</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63.8%</w:t>
            </w:r>
          </w:p>
        </w:tc>
        <w:tc>
          <w:tcPr>
            <w:tcW w:type="dxa" w:w="1170"/>
            <w:vAlign w:val="center"/>
            <w:tcMar>
              <w:top w:w="20" w:type="dxa"/>
              <w:bottom w:w="20" w:type="dxa"/>
              <w:left w:w="50" w:type="dxa"/>
              <w:right w:w="50" w:type="dxa"/>
            </w:tcMar>
            <w:tcBorders>
              <w:top w:val="none"/>
              <w:left w:val="none"/>
              <w:bottom w:val="none"/>
              <w:right w:val="none"/>
            </w:tcBorders>
          </w:tcPr>
          <w:p>
            <w:pPr>
              <w:spacing w:line="240" w:lineRule="auto" w:after="0" w:before="0"/>
              <w:jc w:val="center"/>
            </w:pPr>
            <w:r/>
            <w:r>
              <w:rPr>
                <w:rFonts w:ascii="Times New Roman" w:hAnsi="Times New Roman"/>
                <w:color w:val="000000"/>
                <w:sz w:val="17"/>
              </w:rPr>
              <w:t>0 / 1 (0.0%)</w:t>
            </w:r>
          </w:p>
        </w:tc>
      </w:tr>
      <w:tr>
        <w:trPr>
          <w:cantSplit/>
        </w:trPr>
        <w:tc>
          <w:tcPr>
            <w:tcW w:type="dxa" w:w="1170"/>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left"/>
            </w:pPr>
            <w:r/>
            <w:r>
              <w:rPr>
                <w:rFonts w:ascii="Times New Roman" w:hAnsi="Times New Roman"/>
                <w:color w:val="000000"/>
                <w:sz w:val="17"/>
              </w:rPr>
              <w:t>Overall Benchmark</w:t>
            </w:r>
          </w:p>
        </w:tc>
        <w:tc>
          <w:tcPr>
            <w:tcW w:type="dxa" w:w="1170"/>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center"/>
            </w:pPr>
            <w:r/>
            <w:r>
              <w:rPr>
                <w:rFonts w:ascii="Times New Roman" w:hAnsi="Times New Roman"/>
                <w:color w:val="000000"/>
                <w:sz w:val="17"/>
              </w:rPr>
              <w:t>13</w:t>
            </w:r>
          </w:p>
        </w:tc>
        <w:tc>
          <w:tcPr>
            <w:tcW w:type="dxa" w:w="1170"/>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center"/>
            </w:pPr>
            <w:r/>
            <w:r>
              <w:rPr>
                <w:rFonts w:ascii="Times New Roman" w:hAnsi="Times New Roman"/>
                <w:color w:val="000000"/>
                <w:sz w:val="17"/>
              </w:rPr>
              <w:t>820.2</w:t>
            </w:r>
          </w:p>
        </w:tc>
        <w:tc>
          <w:tcPr>
            <w:tcW w:type="dxa" w:w="1170"/>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center"/>
            </w:pPr>
            <w:r/>
            <w:r>
              <w:rPr>
                <w:rFonts w:ascii="Times New Roman" w:hAnsi="Times New Roman"/>
                <w:color w:val="000000"/>
                <w:sz w:val="17"/>
              </w:rPr>
              <w:t>324.21</w:t>
            </w:r>
          </w:p>
        </w:tc>
        <w:tc>
          <w:tcPr>
            <w:tcW w:type="dxa" w:w="1170"/>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center"/>
            </w:pPr>
            <w:r/>
            <w:r>
              <w:rPr>
                <w:rFonts w:ascii="Times New Roman" w:hAnsi="Times New Roman"/>
                <w:color w:val="000000"/>
                <w:sz w:val="17"/>
              </w:rPr>
              <w:t>89.66%</w:t>
            </w:r>
          </w:p>
        </w:tc>
        <w:tc>
          <w:tcPr>
            <w:tcW w:type="dxa" w:w="1170"/>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center"/>
            </w:pPr>
            <w:r/>
            <w:r>
              <w:rPr>
                <w:rFonts w:ascii="Times New Roman" w:hAnsi="Times New Roman"/>
                <w:color w:val="000000"/>
                <w:sz w:val="17"/>
              </w:rPr>
              <w:t>96.65</w:t>
            </w:r>
          </w:p>
        </w:tc>
        <w:tc>
          <w:tcPr>
            <w:tcW w:type="dxa" w:w="1170"/>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center"/>
            </w:pPr>
            <w:r/>
            <w:r>
              <w:rPr>
                <w:rFonts w:ascii="Times New Roman" w:hAnsi="Times New Roman"/>
                <w:color w:val="000000"/>
                <w:sz w:val="17"/>
              </w:rPr>
              <w:t>16.76%</w:t>
            </w:r>
          </w:p>
        </w:tc>
        <w:tc>
          <w:tcPr>
            <w:tcW w:type="dxa" w:w="1170"/>
            <w:vAlign w:val="center"/>
            <w:tcMar>
              <w:top w:w="20" w:type="dxa"/>
              <w:bottom w:w="20" w:type="dxa"/>
              <w:left w:w="50" w:type="dxa"/>
              <w:right w:w="50" w:type="dxa"/>
            </w:tcMar>
            <w:tcBorders>
              <w:top w:val="none"/>
              <w:left w:val="none"/>
              <w:bottom w:sz="12" w:val="single" w:color="000000"/>
              <w:right w:val="none"/>
            </w:tcBorders>
          </w:tcPr>
          <w:p>
            <w:pPr>
              <w:spacing w:line="240" w:lineRule="auto" w:after="0" w:before="0"/>
              <w:jc w:val="center"/>
            </w:pPr>
            <w:r/>
            <w:r>
              <w:rPr>
                <w:rFonts w:ascii="Times New Roman" w:hAnsi="Times New Roman"/>
                <w:color w:val="000000"/>
                <w:sz w:val="17"/>
              </w:rPr>
              <w:t>3 / 13 (23.08%)</w:t>
            </w:r>
          </w:p>
        </w:tc>
      </w:tr>
    </w:tbl>
    <w:p>
      <w:pPr>
        <w:spacing w:before="0" w:after="0" w:line="240" w:lineRule="auto"/>
        <w:ind w:firstLine="0"/>
        <w:jc w:val="both"/>
      </w:pPr>
      <w:r>
        <w:rPr>
          <w:rFonts w:ascii="Times New Roman" w:hAnsi="Times New Roman"/>
          <w:color w:val="000000"/>
          <w:sz w:val="24"/>
        </w:rPr>
        <w:t>Across the 13 evaluated trips, NavSense achieves an aggregate mean absolute drift of 96.65 metres across all 13 routes and a macro-average normalized drift of 16.76% across the 12 dynamic routes per Equation (13). Three trips achieve normalized drift below the 10% threshold: route Vw12 (3.01%), route Vta21 (7.88%), and route Vw14a (8.54%), resulting in an overall pass rate of 23.08% (3/13). Mean reference distance across all 13 routes is 820.2 metres (575.1 m for Suburban, 1293.9 m for Mountain, 1460.3 m for Motorway, and 1.3 m for Stationary Control), reproducing the route-by-route records in Supplementary Table S1 with exact arithmetic parity.</w:t>
      </w:r>
    </w:p>
    <w:p>
      <w:pPr>
        <w:keepNext/>
        <w:spacing w:before="0" w:after="0" w:line="240" w:lineRule="auto"/>
        <w:jc w:val="left"/>
      </w:pPr>
      <w:r>
        <w:rPr>
          <w:rFonts w:ascii="Times New Roman" w:hAnsi="Times New Roman"/>
          <w:b w:val="0"/>
          <w:sz w:val="24"/>
        </w:rPr>
        <w:t>5. Discussion</w:t>
      </w:r>
    </w:p>
    <w:p>
      <w:pPr>
        <w:keepNext/>
        <w:spacing w:before="0" w:after="0" w:line="240" w:lineRule="auto"/>
        <w:jc w:val="left"/>
      </w:pPr>
      <w:r>
        <w:rPr>
          <w:rFonts w:ascii="Times New Roman" w:hAnsi="Times New Roman"/>
          <w:i/>
          <w:sz w:val="24"/>
        </w:rPr>
        <w:t>5.1. What improves with additional trips</w:t>
      </w:r>
    </w:p>
    <w:p>
      <w:pPr>
        <w:spacing w:before="0" w:after="0" w:line="240" w:lineRule="auto"/>
        <w:ind w:firstLine="0"/>
        <w:jc w:val="both"/>
      </w:pPr>
      <w:r>
        <w:rPr>
          <w:rFonts w:ascii="Times New Roman" w:hAnsi="Times New Roman"/>
          <w:color w:val="000000"/>
          <w:sz w:val="24"/>
        </w:rPr>
        <w:t>The scaling results demonstrate that expanding the training corpus from 6 to 39 whole trips produces substantial performance gains: velocity MAE decreased by 55.27% and 60-second position drift decreased by 64.72%. These improvements stem from exposure to a broader range of road grade variations, throttle transitions, braking dynamics, and vehicle cornering maneuvers. Single-trip or few-trip training sets overfit to specific route dynamics, leaving models vulnerable to distribution shift on unseen roads.</w:t>
      </w:r>
    </w:p>
    <w:p>
      <w:pPr>
        <w:keepNext/>
        <w:spacing w:before="0" w:after="0" w:line="240" w:lineRule="auto"/>
        <w:jc w:val="left"/>
      </w:pPr>
      <w:r>
        <w:rPr>
          <w:rFonts w:ascii="Times New Roman" w:hAnsi="Times New Roman"/>
          <w:i/>
          <w:sz w:val="24"/>
        </w:rPr>
        <w:t>5.2. Why constraints are configuration-sensitive</w:t>
      </w:r>
    </w:p>
    <w:p>
      <w:pPr>
        <w:spacing w:before="0" w:after="0" w:line="240" w:lineRule="auto"/>
        <w:ind w:firstLine="0"/>
        <w:jc w:val="both"/>
      </w:pPr>
      <w:r>
        <w:rPr>
          <w:rFonts w:ascii="Times New Roman" w:hAnsi="Times New Roman"/>
          <w:color w:val="000000"/>
          <w:sz w:val="24"/>
        </w:rPr>
        <w:t>The degradation observed with unconditional lateral non-holonomic constraints highlights a critical gap between theoretical robotics assumptions and consumer smartphone realities. In robotics, IMUs are rigidly bolted to the vehicle chassis with known lever arms and boresight angles. On consumer smartphones, mounting angles in phone cradles vary, and vehicles experience non-zero tire sideslip during cornering. When the filter forces lateral velocity to zero through coupled Kalman gain blocks, lateral innovations corrupt attitude error states, turning minor lateral slip into heading divergence. Restricting lateral updates to linear velocity damping eliminates this destabilizing cross-coupling.</w:t>
      </w:r>
    </w:p>
    <w:p>
      <w:pPr>
        <w:keepNext/>
        <w:spacing w:before="0" w:after="0" w:line="240" w:lineRule="auto"/>
        <w:jc w:val="left"/>
      </w:pPr>
      <w:r>
        <w:rPr>
          <w:rFonts w:ascii="Times New Roman" w:hAnsi="Times New Roman"/>
          <w:i/>
          <w:sz w:val="24"/>
        </w:rPr>
        <w:t>5.3. What map feedback can and cannot provide</w:t>
      </w:r>
    </w:p>
    <w:p>
      <w:pPr>
        <w:spacing w:before="0" w:after="0" w:line="240" w:lineRule="auto"/>
        <w:ind w:firstLine="0"/>
        <w:jc w:val="both"/>
      </w:pPr>
      <w:r>
        <w:rPr>
          <w:rFonts w:ascii="Times New Roman" w:hAnsi="Times New Roman"/>
          <w:color w:val="000000"/>
          <w:sz w:val="24"/>
        </w:rPr>
        <w:t>The empirical failure of closed-loop map heading feedback underscores the hazards of measurement ambiguity in dead reckoning. When a dead reckoning filter experiences heading drift during an outage, map matching cannot reliably differentiate between the true roadway and an adjacent frontage road, exit ramp, or parallel urban street. Feeding candidate road link azimuths directly back into the filter creates a positive feedback loop that accelerates divergence. In the tested implementation, downstream/open-loop map visualisation was safer than direct closed-loop heading injection.</w:t>
      </w:r>
    </w:p>
    <w:p>
      <w:pPr>
        <w:keepNext/>
        <w:spacing w:before="0" w:after="0" w:line="240" w:lineRule="auto"/>
        <w:jc w:val="left"/>
      </w:pPr>
      <w:r>
        <w:rPr>
          <w:rFonts w:ascii="Times New Roman" w:hAnsi="Times New Roman"/>
          <w:i/>
          <w:sz w:val="24"/>
        </w:rPr>
        <w:t>5.4. Distribution-shift implications</w:t>
      </w:r>
    </w:p>
    <w:p>
      <w:pPr>
        <w:spacing w:before="0" w:after="0" w:line="240" w:lineRule="auto"/>
        <w:ind w:firstLine="0"/>
        <w:jc w:val="both"/>
      </w:pPr>
      <w:r>
        <w:rPr>
          <w:rFonts w:ascii="Times New Roman" w:hAnsi="Times New Roman"/>
          <w:color w:val="000000"/>
          <w:sz w:val="24"/>
        </w:rPr>
        <w:t>The highway cruise and pedestrian walking evaluations identify two distinct operational boundaries. On straight highways, the absence of longitudinal acceleration removes the dynamic cues required for learned speed estimation, resulting in negative regression bias toward the training mean. During handheld pedestrian movement, high-frequency arm-swing yaw rates fall far outside the vehicular training distribution, triggering velocity spikes. These findings demonstrate that learned inertial models require operational domain gating to verify vehicle context before activating dead reckoning updates.</w:t>
      </w:r>
    </w:p>
    <w:p>
      <w:pPr>
        <w:keepNext/>
        <w:spacing w:before="0" w:after="0" w:line="240" w:lineRule="auto"/>
        <w:jc w:val="left"/>
      </w:pPr>
      <w:r>
        <w:rPr>
          <w:rFonts w:ascii="Times New Roman" w:hAnsi="Times New Roman"/>
          <w:i/>
          <w:sz w:val="24"/>
        </w:rPr>
        <w:t>5.5. Practical implications for smartphone navigation</w:t>
      </w:r>
    </w:p>
    <w:p>
      <w:pPr>
        <w:spacing w:before="0" w:after="0" w:line="240" w:lineRule="auto"/>
        <w:ind w:firstLine="0"/>
        <w:jc w:val="both"/>
      </w:pPr>
      <w:r>
        <w:rPr>
          <w:rFonts w:ascii="Times New Roman" w:hAnsi="Times New Roman"/>
          <w:color w:val="000000"/>
          <w:sz w:val="24"/>
        </w:rPr>
        <w:t>For real-world automotive dead reckoning on consumer smartphones, these empirical findings suggest that learning-based velocity estimation can substantially outperform raw strapdown integration, but cannot operate reliably as an unconstrained black box. Robust dead reckoning requires hybrid architectures combining learned velocity estimation, decoupled kinematic damping, standstill detection, and conservative failure-aware filtering.</w:t>
      </w:r>
    </w:p>
    <w:p>
      <w:pPr>
        <w:keepNext/>
        <w:spacing w:before="0" w:after="0" w:line="240" w:lineRule="auto"/>
        <w:jc w:val="left"/>
      </w:pPr>
      <w:r>
        <w:rPr>
          <w:rFonts w:ascii="Times New Roman" w:hAnsi="Times New Roman"/>
          <w:b w:val="0"/>
          <w:sz w:val="24"/>
        </w:rPr>
        <w:t>6. Limitations</w:t>
      </w:r>
    </w:p>
    <w:p>
      <w:pPr>
        <w:spacing w:before="0" w:after="0" w:line="240" w:lineRule="auto"/>
        <w:ind w:firstLine="0"/>
        <w:jc w:val="both"/>
      </w:pPr>
      <w:r>
        <w:rPr>
          <w:rFonts w:ascii="Times New Roman" w:hAnsi="Times New Roman"/>
          <w:color w:val="000000"/>
          <w:sz w:val="24"/>
        </w:rPr>
        <w:t>Several scientific limitations characterize this study:</w:t>
      </w:r>
    </w:p>
    <w:p>
      <w:pPr>
        <w:spacing w:before="0" w:after="0" w:line="240" w:lineRule="auto"/>
        <w:ind w:firstLine="0"/>
        <w:jc w:val="both"/>
      </w:pPr>
      <w:r>
        <w:rPr>
          <w:rFonts w:ascii="Times New Roman" w:hAnsi="Times New Roman"/>
          <w:color w:val="000000"/>
          <w:sz w:val="24"/>
        </w:rPr>
        <w:t>1. Single driver evaluation: All 64 passenger-car trips in the public IO-VNBD dataset were recorded by a single individual (Driver E). Consequently, all findings demonstrate whole-trip generalisation for a single driver profile; cross-driver generalisation was not evaluated and cannot be claimed.</w:t>
      </w:r>
    </w:p>
    <w:p>
      <w:pPr>
        <w:spacing w:before="0" w:after="0" w:line="240" w:lineRule="auto"/>
        <w:ind w:firstLine="0"/>
        <w:jc w:val="both"/>
      </w:pPr>
      <w:r>
        <w:rPr>
          <w:rFonts w:ascii="Times New Roman" w:hAnsi="Times New Roman"/>
          <w:color w:val="000000"/>
          <w:sz w:val="24"/>
        </w:rPr>
        <w:t>2. Absence of physical road-vehicle testing: On-device mobile evaluations were restricted to golden telemetry replay, computational latency profiling, and handheld pedestrian stress tests. No physical road-vehicle driving tests were conducted with the Android application.</w:t>
      </w:r>
    </w:p>
    <w:p>
      <w:pPr>
        <w:spacing w:before="0" w:after="0" w:line="240" w:lineRule="auto"/>
        <w:ind w:firstLine="0"/>
        <w:jc w:val="both"/>
      </w:pPr>
      <w:r>
        <w:rPr>
          <w:rFonts w:ascii="Times New Roman" w:hAnsi="Times New Roman"/>
          <w:color w:val="000000"/>
          <w:sz w:val="24"/>
        </w:rPr>
        <w:t>3. Engineering reference signals: Vehicle reference velocity was obtained from the factory CAN bus diagnostic stream via vehicle wheel encoders rather than dual-frequency carrier-phase RTK GNSS. Reference velocity is therefore subject to tyre slip and radius variations.</w:t>
      </w:r>
    </w:p>
    <w:p>
      <w:pPr>
        <w:spacing w:before="0" w:after="0" w:line="240" w:lineRule="auto"/>
        <w:ind w:firstLine="0"/>
        <w:jc w:val="both"/>
      </w:pPr>
      <w:r>
        <w:rPr>
          <w:rFonts w:ascii="Times New Roman" w:hAnsi="Times New Roman"/>
          <w:color w:val="000000"/>
          <w:sz w:val="24"/>
        </w:rPr>
        <w:t>4. Sampling rate constraints: Spectral vibration analyses were conducted at the dataset's 10 Hz feature rate; high-frequency acoustic vibrations above 5 Hz were attenuated by anti-aliasing filtering.</w:t>
      </w:r>
    </w:p>
    <w:p>
      <w:pPr>
        <w:spacing w:before="0" w:after="0" w:line="240" w:lineRule="auto"/>
        <w:ind w:firstLine="0"/>
        <w:jc w:val="both"/>
      </w:pPr>
      <w:r>
        <w:rPr>
          <w:rFonts w:ascii="Times New Roman" w:hAnsi="Times New Roman"/>
          <w:color w:val="000000"/>
          <w:sz w:val="24"/>
        </w:rPr>
        <w:t>5. Specific map matching formulation: The map matching evaluation reflects one specific multiple-hypothesis implementation; alternative topological map matchers may exhibit different feedback characteristics.</w:t>
      </w:r>
    </w:p>
    <w:p>
      <w:pPr>
        <w:spacing w:before="0" w:after="0" w:line="240" w:lineRule="auto"/>
        <w:ind w:firstLine="0"/>
        <w:jc w:val="both"/>
      </w:pPr>
      <w:r>
        <w:rPr>
          <w:rFonts w:ascii="Times New Roman" w:hAnsi="Times New Roman"/>
          <w:color w:val="000000"/>
          <w:sz w:val="24"/>
        </w:rPr>
        <w:t>6. Competitive benchmark compliance: Under continuous 60-second satellite blackouts, the system achieved a 16.76% macro-average normalized drift across dynamic routes (96.65 m mean absolute drift across all 13 eligible routes) and met the sub-10% threshold on only 3 of 13 eligible routes (23.08%), indicating that universal compliance remains an open challenge.</w:t>
      </w:r>
    </w:p>
    <w:p>
      <w:pPr>
        <w:keepNext/>
        <w:spacing w:before="0" w:after="0" w:line="240" w:lineRule="auto"/>
        <w:jc w:val="left"/>
      </w:pPr>
      <w:r>
        <w:rPr>
          <w:rFonts w:ascii="Times New Roman" w:hAnsi="Times New Roman"/>
          <w:b w:val="0"/>
          <w:sz w:val="24"/>
        </w:rPr>
        <w:t>7. Conclusions</w:t>
      </w:r>
    </w:p>
    <w:p>
      <w:pPr>
        <w:spacing w:before="0" w:after="0" w:line="240" w:lineRule="auto"/>
        <w:ind w:firstLine="0"/>
        <w:jc w:val="both"/>
      </w:pPr>
      <w:r>
        <w:rPr>
          <w:rFonts w:ascii="Times New Roman" w:hAnsi="Times New Roman"/>
          <w:color w:val="000000"/>
          <w:sz w:val="24"/>
        </w:rPr>
        <w:t>This study has presented an empirical evaluation of smartphone-only inertial dead reckoning under extended GNSS blackouts. Using the public IO-VNBD benchmark dataset, we quantified the benefits and failure modes of learned velocity estimation, sensor fusion, kinematic constraints, map feedback, and operational distribution shifts.</w:t>
      </w:r>
    </w:p>
    <w:p>
      <w:pPr>
        <w:spacing w:before="0" w:after="0" w:line="240" w:lineRule="auto"/>
        <w:ind w:firstLine="0"/>
        <w:jc w:val="both"/>
      </w:pPr>
      <w:r>
        <w:rPr>
          <w:rFonts w:ascii="Times New Roman" w:hAnsi="Times New Roman"/>
          <w:color w:val="000000"/>
          <w:sz w:val="24"/>
        </w:rPr>
        <w:t>Our findings show that scaling causal TCN training across diverse whole trips reduces velocity estimation error by 55.27% and decreases 60-second position drift by 64.72%. However, our ablation experiments also reveal that standard navigation assumptions can break down on consumer devices: unconditional lateral non-holonomic constraints degraded 60-second drift by 45.47%, while closed-loop map heading feedback degraded drift by 125.47%. Decoupling lateral velocity damping from attitude states restored filter stability, reducing drift by 54.62%. Across 13 held-out 60-second blackout routes, adaptive fusion achieved a mean absolute position drift of 96.65 metres (16.76% macro-average normalized error across the 12 dynamic routes), satisfying a competitive sub-10% drift benchmark on 23.08% of evaluated trips. These results emphasize the necessity of failure-aware design in smartphone dead reckoning architectures.</w:t>
      </w:r>
    </w:p>
    <w:p>
      <w:pPr>
        <w:spacing w:before="0" w:after="0" w:line="240" w:lineRule="auto"/>
        <w:ind w:firstLine="0"/>
        <w:jc w:val="both"/>
      </w:pPr>
      <w:r>
        <w:rPr>
          <w:rFonts w:ascii="Times New Roman" w:hAnsi="Times New Roman"/>
          <w:b w:val="0"/>
          <w:i/>
          <w:sz w:val="24"/>
        </w:rPr>
        <w:t xml:space="preserve">Data Availability Statement. </w:t>
      </w:r>
      <w:r>
        <w:rPr>
          <w:rFonts w:ascii="Times New Roman" w:hAnsi="Times New Roman"/>
          <w:color w:val="000000"/>
          <w:sz w:val="24"/>
        </w:rPr>
        <w:t>The empirical evaluations in this study were conducted on the publicly available IO-VNBD benchmark dataset (Onyekpe et al., 2021), accessible under the Creative Commons Attribution 4.0 International licence at https://doi.org/10.1016/j.dib.2021.106885. Derived summary metrics and evaluation logs generated during this research are available within the project repository.</w:t>
      </w:r>
    </w:p>
    <w:p>
      <w:pPr>
        <w:spacing w:before="0" w:after="0" w:line="240" w:lineRule="auto"/>
        <w:ind w:firstLine="0"/>
        <w:jc w:val="both"/>
      </w:pPr>
      <w:r>
        <w:rPr>
          <w:rFonts w:ascii="Times New Roman" w:hAnsi="Times New Roman"/>
          <w:b w:val="0"/>
          <w:i/>
          <w:sz w:val="24"/>
        </w:rPr>
        <w:t xml:space="preserve">Code Availability Statement. </w:t>
      </w:r>
      <w:r>
        <w:rPr>
          <w:rFonts w:ascii="Times New Roman" w:hAnsi="Times New Roman"/>
          <w:color w:val="000000"/>
          <w:sz w:val="24"/>
        </w:rPr>
        <w:t>The software code supporting the analyses, models, filtering pipelines, and Android deployment in this study is available under an open-source MIT licence at https://github.com/24f2001869/NavSense. All reproducibility materials, frozen configuration scripts, and evaluation logs for this manuscript are anchored to frozen release tag `paper-jon-v1.0`.</w:t>
      </w:r>
    </w:p>
    <w:p>
      <w:pPr>
        <w:spacing w:before="0" w:after="0" w:line="240" w:lineRule="auto"/>
        <w:ind w:firstLine="0"/>
        <w:jc w:val="both"/>
      </w:pPr>
      <w:r>
        <w:rPr>
          <w:rFonts w:ascii="Times New Roman" w:hAnsi="Times New Roman"/>
          <w:b w:val="0"/>
          <w:i/>
          <w:sz w:val="24"/>
        </w:rPr>
        <w:t xml:space="preserve">Acknowledgements. </w:t>
      </w:r>
      <w:r>
        <w:rPr>
          <w:rFonts w:ascii="Times New Roman" w:hAnsi="Times New Roman"/>
          <w:color w:val="000000"/>
          <w:sz w:val="24"/>
        </w:rPr>
        <w:t>The author acknowledges the use of the Google Antigravity Agentic Assistant, powered by Gemini 2.5 Flash, during manuscript preparation and publication-engineering activities, including formatting, language harmonisation, consistency checking, and automated verification. The author independently verified the resulting manuscript, analyses, and scientific content, and retains full responsibility for the work.</w:t>
      </w:r>
    </w:p>
    <w:p>
      <w:pPr>
        <w:spacing w:before="0" w:after="0" w:line="240" w:lineRule="auto"/>
        <w:ind w:firstLine="0"/>
        <w:jc w:val="both"/>
      </w:pPr>
      <w:r>
        <w:rPr>
          <w:rFonts w:ascii="Times New Roman" w:hAnsi="Times New Roman"/>
          <w:b w:val="0"/>
          <w:i/>
          <w:sz w:val="24"/>
        </w:rPr>
        <w:t xml:space="preserve">Funding. </w:t>
      </w:r>
      <w:r>
        <w:rPr>
          <w:rFonts w:ascii="Times New Roman" w:hAnsi="Times New Roman"/>
          <w:color w:val="000000"/>
          <w:sz w:val="24"/>
        </w:rPr>
        <w:t>No specific external funding was received for this research.</w:t>
      </w:r>
    </w:p>
    <w:p>
      <w:pPr>
        <w:spacing w:before="0" w:after="0" w:line="240" w:lineRule="auto"/>
        <w:ind w:firstLine="0"/>
        <w:jc w:val="both"/>
      </w:pPr>
      <w:r>
        <w:rPr>
          <w:rFonts w:ascii="Times New Roman" w:hAnsi="Times New Roman"/>
          <w:b w:val="0"/>
          <w:i/>
          <w:sz w:val="24"/>
        </w:rPr>
        <w:t xml:space="preserve">Competing Interests. </w:t>
      </w:r>
      <w:r>
        <w:rPr>
          <w:rFonts w:ascii="Times New Roman" w:hAnsi="Times New Roman"/>
          <w:color w:val="000000"/>
          <w:sz w:val="24"/>
        </w:rPr>
        <w:t>The author declares no competing financial or non-financial interests.</w:t>
      </w:r>
    </w:p>
    <w:p>
      <w:pPr>
        <w:spacing w:before="0" w:after="0" w:line="240" w:lineRule="auto"/>
        <w:ind w:firstLine="0"/>
        <w:jc w:val="both"/>
      </w:pPr>
      <w:r>
        <w:rPr>
          <w:rFonts w:ascii="Times New Roman" w:hAnsi="Times New Roman"/>
          <w:b w:val="0"/>
          <w:i/>
          <w:sz w:val="24"/>
        </w:rPr>
        <w:t xml:space="preserve">AI Disclosure Statement. </w:t>
      </w:r>
      <w:r>
        <w:rPr>
          <w:rFonts w:ascii="Times New Roman" w:hAnsi="Times New Roman"/>
          <w:color w:val="000000"/>
          <w:sz w:val="24"/>
        </w:rPr>
        <w:t>During manuscript preparation and auditing, the author utilized the Google Antigravity Agentic Assistant (powered by Gemini 2.5 Flash, Google DeepMind, September 2026) for publication engineering. Automated verification scripts cross-checked numerical tables, causality, and future-gradient leakage; underlying experimental data, models, filtering algorithms, and analyses were generated by the author. Assistance included formatting alignment with Cambridge guidelines, language harmonization, and CrossRef DOI verification. All visual figures were generated deterministically using Python/Matplotlib scripts; AI assistance was limited to script-editing support without generating visual content directly. The author reviewed all text and takes full responsibility for the manuscript.</w:t>
      </w:r>
    </w:p>
    <w:p>
      <w:pPr>
        <w:keepNext/>
        <w:spacing w:before="0" w:after="0" w:line="240" w:lineRule="auto"/>
        <w:jc w:val="left"/>
      </w:pPr>
      <w:r>
        <w:rPr>
          <w:rFonts w:ascii="Times New Roman" w:hAnsi="Times New Roman"/>
          <w:b w:val="0"/>
          <w:sz w:val="24"/>
        </w:rPr>
        <w:t>References</w:t>
      </w:r>
    </w:p>
    <w:p>
      <w:pPr>
        <w:spacing w:before="0" w:after="0" w:line="240" w:lineRule="auto"/>
        <w:ind w:left="0" w:firstLine="0"/>
        <w:jc w:val="both"/>
      </w:pPr>
      <w:r>
        <w:rPr>
          <w:rFonts w:ascii="Times New Roman" w:hAnsi="Times New Roman"/>
          <w:sz w:val="24"/>
        </w:rPr>
        <w:t>Bai, S., Kolter, J. Z. and Koltun, V. (2018). An empirical evaluation of generic convolutional and recurrent networks for sequence modeling. arXiv preprint arXiv:1803.01271.</w:t>
      </w:r>
    </w:p>
    <w:p>
      <w:pPr>
        <w:spacing w:before="0" w:after="0" w:line="240" w:lineRule="auto"/>
        <w:ind w:left="0" w:firstLine="0"/>
        <w:jc w:val="both"/>
      </w:pPr>
      <w:r>
        <w:rPr>
          <w:rFonts w:ascii="Times New Roman" w:hAnsi="Times New Roman"/>
          <w:sz w:val="24"/>
        </w:rPr>
        <w:t>Brossard, M., Bonnabel, S. and Barrau, A. (2020). AI-IMU Dead-Reckoning. IEEE Transactions on Intelligent Vehicles, 5(4), pp. 585–595. doi: 10.1109/TIV.2020.2980758.</w:t>
      </w:r>
    </w:p>
    <w:p>
      <w:pPr>
        <w:spacing w:before="0" w:after="0" w:line="240" w:lineRule="auto"/>
        <w:ind w:left="0" w:firstLine="0"/>
        <w:jc w:val="both"/>
      </w:pPr>
      <w:r>
        <w:rPr>
          <w:rFonts w:ascii="Times New Roman" w:hAnsi="Times New Roman"/>
          <w:sz w:val="24"/>
        </w:rPr>
        <w:t>Dissanayake, M. W. M. G., Sukkarieh, S., Nebot, E. M. and Durrant-Whyte, H. (2001). The aiding of a low-cost strapdown inertial measurement unit using vehicle model constraints for land vehicle navigation. IEEE Transactions on Robotics and Automation, 17(5), pp. 731–747. doi: 10.1109/70.964672.</w:t>
      </w:r>
    </w:p>
    <w:p>
      <w:pPr>
        <w:spacing w:before="0" w:after="0" w:line="240" w:lineRule="auto"/>
        <w:ind w:left="0" w:firstLine="0"/>
        <w:jc w:val="both"/>
      </w:pPr>
      <w:r>
        <w:rPr>
          <w:rFonts w:ascii="Times New Roman" w:hAnsi="Times New Roman"/>
          <w:sz w:val="24"/>
        </w:rPr>
        <w:t>Groves, P. D. (2013). Principles of GNSS, Inertial, and Multisensor Integrated Navigation Systems. 2nd ed. Artech House, Boston, MA, USA.</w:t>
      </w:r>
    </w:p>
    <w:p>
      <w:pPr>
        <w:spacing w:before="0" w:after="0" w:line="240" w:lineRule="auto"/>
        <w:ind w:left="0" w:firstLine="0"/>
        <w:jc w:val="both"/>
      </w:pPr>
      <w:r>
        <w:rPr>
          <w:rFonts w:ascii="Times New Roman" w:hAnsi="Times New Roman"/>
          <w:sz w:val="24"/>
        </w:rPr>
        <w:t>Klein, D., Cappelle, C., Ruichek, Y. and Rovetta, J. M. (2008). Multi-sensor fusion for land vehicle positioning using non-holonomic constraints and road map. In Proceedings of the 2008 IEEE Intelligent Vehicles Symposium (IV), Eindhoven, Netherlands, pp. 1104–1109. doi: 10.1109/IVS.2008.4621287.</w:t>
      </w:r>
    </w:p>
    <w:p>
      <w:pPr>
        <w:spacing w:before="0" w:after="0" w:line="240" w:lineRule="auto"/>
        <w:ind w:left="0" w:firstLine="0"/>
        <w:jc w:val="both"/>
      </w:pPr>
      <w:r>
        <w:rPr>
          <w:rFonts w:ascii="Times New Roman" w:hAnsi="Times New Roman"/>
          <w:sz w:val="24"/>
        </w:rPr>
        <w:t>Onyekpe, U., Palade, V., Kanarachos, S. and Szkolnik, A. (2021). IO-VNBD: Inertial and Odometry benchmark dataset for ground vehicle positioning. Data in Brief, 35, 106885. doi: 10.1016/j.dib.2021.106885.</w:t>
      </w:r>
    </w:p>
    <w:p>
      <w:pPr>
        <w:spacing w:before="0" w:after="0" w:line="240" w:lineRule="auto"/>
        <w:ind w:left="0" w:firstLine="0"/>
        <w:jc w:val="both"/>
      </w:pPr>
      <w:r>
        <w:rPr>
          <w:rFonts w:ascii="Times New Roman" w:hAnsi="Times New Roman"/>
          <w:sz w:val="24"/>
        </w:rPr>
        <w:t>Qian, L., Lin, X., Niu, X., Huang, Q., Li, L., Guo, G., Wang, Z. and Chen, R. (2025). Avnet: learning attitude and velocity for vehicular dead reckoning using smartphone by adapting an invariant EKF. Satellite Navigation, 6, 15. doi: 10.1186/s43020-025-00168-7.</w:t>
      </w:r>
    </w:p>
    <w:p>
      <w:pPr>
        <w:spacing w:before="0" w:after="0" w:line="240" w:lineRule="auto"/>
        <w:ind w:left="0" w:firstLine="0"/>
        <w:jc w:val="both"/>
      </w:pPr>
      <w:r>
        <w:rPr>
          <w:rFonts w:ascii="Times New Roman" w:hAnsi="Times New Roman"/>
          <w:sz w:val="24"/>
        </w:rPr>
        <w:t>Quddus, M. A., Ochieng, W. Y. and Noland, R. B. (2007). Current map-matching algorithms for transport applications: State-of-the art and future research directions. Transportation Research Part C: Emerging Technologies, 15(5), pp. 312–328. doi: 10.1016/j.trc.2007.05.002.</w:t>
      </w:r>
    </w:p>
    <w:p>
      <w:pPr>
        <w:spacing w:before="0" w:after="0" w:line="240" w:lineRule="auto"/>
        <w:ind w:left="0" w:firstLine="0"/>
        <w:jc w:val="both"/>
      </w:pPr>
      <w:r>
        <w:rPr>
          <w:rFonts w:ascii="Times New Roman" w:hAnsi="Times New Roman"/>
          <w:sz w:val="24"/>
        </w:rPr>
        <w:t>Shen, C., Zhang, Y. and Tang, X. (2019). A high-precision dead reckoning algorithm based on non-holonomic constraints and adaptive Kalman filtering for land vehicles. Sensors, 19(18), 3855. doi: 10.3390/s19183855.</w:t>
      </w:r>
    </w:p>
    <w:p>
      <w:pPr>
        <w:spacing w:before="0" w:after="0" w:line="240" w:lineRule="auto"/>
        <w:ind w:left="0" w:firstLine="0"/>
        <w:jc w:val="both"/>
      </w:pPr>
      <w:r>
        <w:rPr>
          <w:rFonts w:ascii="Times New Roman" w:hAnsi="Times New Roman"/>
          <w:sz w:val="24"/>
        </w:rPr>
        <w:t>Shin, B., Li, S. and Kim, B. (2025). Deep Learning-Based Vehicle Speed Estimation Using Smartphone Sensors in GNSS-Denied Environment. Applied Sciences, 15(16), 8824. doi: 10.3390/app15168824.</w:t>
      </w:r>
    </w:p>
    <w:p>
      <w:pPr>
        <w:spacing w:before="0" w:after="0" w:line="240" w:lineRule="auto"/>
        <w:ind w:left="0" w:firstLine="0"/>
        <w:jc w:val="both"/>
      </w:pPr>
      <w:r>
        <w:rPr>
          <w:rFonts w:ascii="Times New Roman" w:hAnsi="Times New Roman"/>
          <w:sz w:val="24"/>
        </w:rPr>
        <w:t>Skog, I., Nilsson, J. O. and Händel, P. (2010). Evaluation of zero-velocity detectors for pedestrian indoor positioning. In Proceedings of the 2010 International Conference on Indoor Positioning and Indoor Navigation (IPIN), Zurich, Switzerland, pp. 1–6. doi: 10.1109/IPIN.2010.5646936.</w:t>
      </w:r>
    </w:p>
    <w:p>
      <w:pPr>
        <w:spacing w:before="0" w:after="0" w:line="240" w:lineRule="auto"/>
        <w:ind w:left="0" w:firstLine="0"/>
        <w:jc w:val="both"/>
      </w:pPr>
      <w:r>
        <w:rPr>
          <w:rFonts w:ascii="Times New Roman" w:hAnsi="Times New Roman"/>
          <w:sz w:val="24"/>
        </w:rPr>
        <w:t>Solà, J. (2017). Quaternion kinematics for the error-state Kalman filter. arXiv preprint arXiv:1711.02508.</w:t>
      </w:r>
    </w:p>
    <w:p>
      <w:pPr>
        <w:spacing w:before="0" w:after="0" w:line="240" w:lineRule="auto"/>
        <w:ind w:left="0" w:firstLine="0"/>
        <w:jc w:val="both"/>
      </w:pPr>
      <w:r>
        <w:rPr>
          <w:rFonts w:ascii="Times New Roman" w:hAnsi="Times New Roman"/>
          <w:sz w:val="24"/>
        </w:rPr>
        <w:t>Sukkarieh, S., Nebot, E. M. and Durrant-Whyte, H. F. (1999). A high integrity IMU/GPS navigation loop for autonomous land vehicle applications. IEEE Transactions on Robotics and Automation, 15(3), pp. 572–578. doi: 10.1109/70.768181.</w:t>
      </w:r>
    </w:p>
    <w:p>
      <w:pPr>
        <w:spacing w:before="0" w:after="0" w:line="240" w:lineRule="auto"/>
        <w:ind w:left="0" w:firstLine="0"/>
        <w:jc w:val="both"/>
      </w:pPr>
      <w:r>
        <w:rPr>
          <w:rFonts w:ascii="Times New Roman" w:hAnsi="Times New Roman"/>
          <w:sz w:val="24"/>
        </w:rPr>
        <w:t>Titterton, D. H. and Weston, J. L. (2004). Strapdown Inertial Navigation Technology. 2nd ed. Institution of Engineering and Technology (IET), Stevenage, UK.</w:t>
      </w:r>
    </w:p>
    <w:p>
      <w:pPr>
        <w:spacing w:before="0" w:after="0" w:line="240" w:lineRule="auto"/>
        <w:ind w:left="0" w:firstLine="0"/>
        <w:jc w:val="both"/>
      </w:pPr>
      <w:r>
        <w:rPr>
          <w:rFonts w:ascii="Times New Roman" w:hAnsi="Times New Roman"/>
          <w:sz w:val="24"/>
        </w:rPr>
        <w:t>White, C. E., Bernstein, D. and Kornhauser, A. L. (2000). Some map matching algorithms for personal navigation assistants. Transportation Research Part C: Emerging Technologies, 8(1–6), pp. 91–108. doi: 10.1016/S0968-090X(00)00026-4.</w:t>
      </w:r>
    </w:p>
    <w:p>
      <w:pPr>
        <w:spacing w:before="0" w:after="0" w:line="240" w:lineRule="auto"/>
        <w:ind w:left="0" w:firstLine="0"/>
        <w:jc w:val="both"/>
      </w:pPr>
      <w:r>
        <w:rPr>
          <w:rFonts w:ascii="Times New Roman" w:hAnsi="Times New Roman"/>
          <w:sz w:val="24"/>
        </w:rPr>
        <w:t>Xiao, X., Ren, X. and Li, H. (2025). An Inertial Sequence Learning Framework for Vehicle Speed Estimation via Smartphone IMU. arXiv preprint arXiv:2505.18490.</w:t>
      </w:r>
    </w:p>
    <w:p>
      <w:pPr>
        <w:spacing w:before="0" w:after="0" w:line="240" w:lineRule="auto"/>
        <w:ind w:left="0" w:firstLine="0"/>
        <w:jc w:val="both"/>
      </w:pPr>
      <w:r>
        <w:rPr>
          <w:rFonts w:ascii="Times New Roman" w:hAnsi="Times New Roman"/>
          <w:sz w:val="24"/>
        </w:rPr>
        <w:t>Yan, H., Shan, Q. and Furukawa, Y. (2020). RoNIN: Robust Neural Inertial Navigation in the Wild: Benchmark, Evaluations, &amp; New Methods. In Proceedings of the IEEE/CVF Conference on Computer Vision and Pattern Recognition (CVPR), Seattle, WA, USA, pp. 6128–6137. doi: 10.1109/CVPR42600.2020.00616.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ind w:firstLine="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