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120" w:after="40" w:line="240" w:lineRule="auto"/>
        <w:jc w:val="left"/>
      </w:pPr>
      <w:r>
        <w:rPr>
          <w:rFonts w:ascii="Times New Roman" w:hAnsi="Times New Roman"/>
          <w:b w:val="0"/>
          <w:sz w:val="28"/>
        </w:rPr>
        <w:t>Supplementary Material: Failure-Aware Smartphone Inertial Dead Reckoning Under GNSS Outages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/>
          <w:color w:val="000000"/>
          <w:sz w:val="24"/>
        </w:rPr>
        <w:t>Article Title:</w:t>
      </w:r>
      <w:r>
        <w:rPr>
          <w:rFonts w:ascii="Times New Roman" w:hAnsi="Times New Roman"/>
          <w:color w:val="000000"/>
          <w:sz w:val="24"/>
        </w:rPr>
        <w:t xml:space="preserve"> Failure-Aware Smartphone Inertial Dead Reckoning Under GNSS Outages: An Empirical Study of Learned Velocity, Sensor Fusion, Map Constraints, and Distribution Shift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/>
          <w:color w:val="000000"/>
          <w:sz w:val="24"/>
        </w:rPr>
        <w:t>Journal: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000000"/>
          <w:sz w:val="24"/>
        </w:rPr>
        <w:t>The Journal of Navigation</w:t>
      </w:r>
      <w:r>
        <w:rPr>
          <w:rFonts w:ascii="Times New Roman" w:hAnsi="Times New Roman"/>
          <w:color w:val="000000"/>
          <w:sz w:val="24"/>
        </w:rPr>
        <w:t xml:space="preserve"> (Cambridge University Press / Royal Institute of Navigation)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/>
          <w:color w:val="000000"/>
          <w:sz w:val="24"/>
        </w:rPr>
        <w:t>Author:</w:t>
      </w:r>
      <w:r>
        <w:rPr>
          <w:rFonts w:ascii="Times New Roman" w:hAnsi="Times New Roman"/>
          <w:color w:val="000000"/>
          <w:sz w:val="24"/>
        </w:rPr>
        <w:t xml:space="preserve"> Rahul Kumar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/>
          <w:color w:val="000000"/>
          <w:sz w:val="24"/>
        </w:rPr>
        <w:t>Affiliation:</w:t>
      </w:r>
      <w:r>
        <w:rPr>
          <w:rFonts w:ascii="Times New Roman" w:hAnsi="Times New Roman"/>
          <w:color w:val="000000"/>
          <w:sz w:val="24"/>
        </w:rPr>
        <w:t xml:space="preserve"> Integrated M.Tech. (Materials Engineering), School of Engineering Sciences &amp; Technology, University of Hyderabad, Hyderabad, India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b/>
          <w:color w:val="000000"/>
          <w:sz w:val="24"/>
        </w:rPr>
        <w:t>Corresponding Email:</w:t>
      </w:r>
      <w:r>
        <w:rPr>
          <w:rFonts w:ascii="Times New Roman" w:hAnsi="Times New Roman"/>
          <w:color w:val="000000"/>
          <w:sz w:val="24"/>
        </w:rPr>
        <w:t xml:space="preserve"> 24f2001869@ds.study.iitm.ac.in</w:t>
      </w:r>
    </w:p>
    <w:p>
      <w:pPr>
        <w:keepNext/>
        <w:spacing w:before="60" w:after="20" w:line="240" w:lineRule="auto"/>
        <w:jc w:val="left"/>
      </w:pPr>
      <w:r>
        <w:rPr>
          <w:rFonts w:ascii="Times New Roman" w:hAnsi="Times New Roman"/>
          <w:i/>
          <w:sz w:val="24"/>
        </w:rPr>
        <w:t>Overview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This supplementary document provides extended tabular data, detailed per-trip forensic metrics, hardware profiling logs, and mathematical derivations supporting the main article. All evaluations utilize the public IO-VNBD benchmark dataset (Onyekpe et al., 2021) and on-device Android mobile execution on a Google Pixel 7a smartphone.</w:t>
      </w:r>
    </w:p>
    <w:p>
      <w:pPr>
        <w:keepNext/>
        <w:spacing w:before="80" w:after="40" w:line="240" w:lineRule="auto"/>
        <w:jc w:val="left"/>
      </w:pPr>
      <w:r>
        <w:rPr>
          <w:rFonts w:ascii="Times New Roman" w:hAnsi="Times New Roman"/>
          <w:b w:val="0"/>
          <w:sz w:val="24"/>
        </w:rPr>
        <w:t>Supplementary Table S1: Per-Trip Performance Breakdown Under 60-Second GNSS Blackouts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The main manuscript presents aggregate and category-level metrics across the 13 usable held-out test routes. Table S1 provides the comprehensive route-by-route results for both unassisted strapdown inertial dead reckoning and the proposed NavSense adaptive fusion engine.</w:t>
      </w:r>
    </w:p>
    <w:p>
      <w:pPr>
        <w:keepNext/>
        <w:spacing w:before="80" w:after="20" w:line="240" w:lineRule="auto"/>
        <w:jc w:val="left"/>
      </w:pPr>
      <w:r>
        <w:rPr>
          <w:rFonts w:ascii="Times New Roman" w:hAnsi="Times New Roman"/>
          <w:b w:val="0"/>
          <w:sz w:val="21"/>
        </w:rPr>
        <w:t>Table S1. Detailed route-by-route evaluation across all 13 usable held-out test trips under 60-second satellite outages.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40"/>
        <w:gridCol w:w="1040"/>
        <w:gridCol w:w="1040"/>
        <w:gridCol w:w="1040"/>
        <w:gridCol w:w="1040"/>
        <w:gridCol w:w="1040"/>
        <w:gridCol w:w="1040"/>
        <w:gridCol w:w="1040"/>
        <w:gridCol w:w="1040"/>
      </w:tblGrid>
      <w:tr>
        <w:trPr>
          <w:cantSplit/>
          <w:tblHeader/>
        </w:trPr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single" w:sz="12" w:space="0" w:color="000000"/>
              <w:left w:val="none" w:sz="4" w:space="0" w:color="auto"/>
              <w:bottom w:val="single" w:sz="6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color w:val="000000"/>
                <w:sz w:val="17"/>
              </w:rPr>
              <w:t>Trip ID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single" w:sz="12" w:space="0" w:color="000000"/>
              <w:left w:val="none" w:sz="4" w:space="0" w:color="auto"/>
              <w:bottom w:val="single" w:sz="6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color w:val="000000"/>
                <w:sz w:val="17"/>
              </w:rPr>
              <w:t>Route Environment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single" w:sz="12" w:space="0" w:color="000000"/>
              <w:left w:val="none" w:sz="4" w:space="0" w:color="auto"/>
              <w:bottom w:val="single" w:sz="6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color w:val="000000"/>
                <w:sz w:val="17"/>
              </w:rPr>
              <w:t>Reference Distance (m)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single" w:sz="12" w:space="0" w:color="000000"/>
              <w:left w:val="none" w:sz="4" w:space="0" w:color="auto"/>
              <w:bottom w:val="single" w:sz="6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color w:val="000000"/>
                <w:sz w:val="17"/>
              </w:rPr>
              <w:t>Pure Strapdown Drift (m)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single" w:sz="12" w:space="0" w:color="000000"/>
              <w:left w:val="none" w:sz="4" w:space="0" w:color="auto"/>
              <w:bottom w:val="single" w:sz="6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color w:val="000000"/>
                <w:sz w:val="17"/>
              </w:rPr>
              <w:t>Pure Strapdown Drift (%)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single" w:sz="12" w:space="0" w:color="000000"/>
              <w:left w:val="none" w:sz="4" w:space="0" w:color="auto"/>
              <w:bottom w:val="single" w:sz="6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color w:val="000000"/>
                <w:sz w:val="17"/>
              </w:rPr>
              <w:t>NavSense Adaptive Drift (m)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single" w:sz="12" w:space="0" w:color="000000"/>
              <w:left w:val="none" w:sz="4" w:space="0" w:color="auto"/>
              <w:bottom w:val="single" w:sz="6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color w:val="000000"/>
                <w:sz w:val="17"/>
              </w:rPr>
              <w:t>NavSense Adaptive Drift (%)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single" w:sz="12" w:space="0" w:color="000000"/>
              <w:left w:val="none" w:sz="4" w:space="0" w:color="auto"/>
              <w:bottom w:val="single" w:sz="6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color w:val="000000"/>
                <w:sz w:val="17"/>
              </w:rPr>
              <w:t>SIH Benchmark Status (&lt;10%)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single" w:sz="12" w:space="0" w:color="000000"/>
              <w:left w:val="none" w:sz="4" w:space="0" w:color="auto"/>
              <w:bottom w:val="single" w:sz="6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color w:val="000000"/>
                <w:sz w:val="17"/>
              </w:rPr>
              <w:t>Observed Dynamic Characteristics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Vta21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Suburban Town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786.7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406.8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51.45%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61.5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7.88%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MET (PASS)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Steady suburban cruising along arterial corridor; bounded drift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Vta22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Suburban Town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641.3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176.7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27.72%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107.7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16.84%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Unmet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Frequent stop-and-go queue; velocity dampens with traffic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Vta23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Suburban Town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570.1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352.9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62.40%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156.8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26.16%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Unmet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Sharp 90-degree intersection turn during blackout window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Vta24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Suburban Town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384.8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293.6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73.42%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57.0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14.65%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Unmet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Commercial zone corridor; low-speed transient manoeuvres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Vta26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Suburban Town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258.7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292.8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574.65%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66.3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47.31%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Unmet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Short transit crawl; large percentage due to short travel distance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Vta27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Suburban Town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818.9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306.5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37.18%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95.9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12.68%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Unmet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Signalised arterial road with moderate speed transitions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Vta28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Suburban Town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565.3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281.8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64.92%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120.6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25.30%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Unmet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Roundabout entry and deceleration into residential zone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Vw12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Mountain Route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1500.2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650.3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43.40%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45.3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3.01%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MET (PASS)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Continuous mountain descent; highly dynamic centripetal cues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Vw14a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Mountain Route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1511.1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312.6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21.06%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130.4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8.54%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MET (PASS)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Rural mountain corridor with sweeping curves and steady throttle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Vw14b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Mountain Route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1264.5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432.8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42.48%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121.0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10.19%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Unmet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Consecutive hairpins; centripetal acceleration transitions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Vw16a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Mountain Route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899.9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388.5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51.76%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136.1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16.88%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Unmet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High curvature hill climb with frequent throttle modulations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V-Vfa02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Motorway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1460.3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313.9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25.44%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157.2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11.69%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Unmet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Unaccelerated high-speed cruising; negative TCN regression bias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Vw15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Stationary Control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1.3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5.6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450.48%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0.82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63.83%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Unmet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Zero-velocity control trip; standstill clamped by causal ZVD</w:t>
            </w:r>
          </w:p>
        </w:tc>
      </w:tr>
      <w:tr>
        <w:trPr>
          <w:cantSplit/>
        </w:trPr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single" w:sz="12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Mean / Total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single" w:sz="12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All 13 Routes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single" w:sz="12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820.2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single" w:sz="12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324.21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single" w:sz="12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89.66%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single" w:sz="12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96.65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single" w:sz="12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16.76%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single" w:sz="12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3 / 13 (23.08%)</w:t>
            </w:r>
          </w:p>
        </w:tc>
        <w:tc>
          <w:tcPr>
            <w:tcW w:type="dxa" w:w="104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single" w:sz="12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Complete Held-Out 60-s Evaluation Set</w:t>
            </w:r>
          </w:p>
        </w:tc>
      </w:tr>
    </w:tbl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i/>
          <w:color w:val="000000"/>
          <w:sz w:val="24"/>
        </w:rPr>
        <w:t>Note: In accordance with the experimental protocol, trips with total durations shorter than 70.0 seconds are excluded from the 60-second evaluation set because they cannot accommodate the 10-second pre-outage calibration window plus the 60-second blackout duration. Macro-average normalized drift weights each dynamic trip equally, excluding the stationary control trip Vw15 from the percentage mean per Equation (13) to avoid distortion from the near-zero travel-distance denominator. Normalised drift percentages are calculated using the reference distance travelled during the corresponding 60-s blackout window, S_i(T), as defined in Eq. (13). The 'Reference Distance' column reports the route/reference distance associated with the evaluation record and is not necessarily identical to the blackout-window travel distance.</w:t>
      </w:r>
    </w:p>
    <w:p>
      <w:pPr>
        <w:keepNext/>
        <w:spacing w:before="80" w:after="40" w:line="240" w:lineRule="auto"/>
        <w:jc w:val="left"/>
      </w:pPr>
      <w:r>
        <w:rPr>
          <w:rFonts w:ascii="Times New Roman" w:hAnsi="Times New Roman"/>
          <w:b w:val="0"/>
          <w:sz w:val="24"/>
        </w:rPr>
        <w:t>Supplementary Table S2: Spectral Vibration Speed Audit Across 64 Vehicle Trips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To evaluate the hypothesis that vehicle road and engine vibration captured by consumer smartphone IMUs provides a reliable proxy for vehicle forward speed, Table S2 summarizes the spectral census across all 64 passenger-car trips in the IO-VNBD dataset (&gt;450,000 one-second FFT windows).</w:t>
      </w:r>
    </w:p>
    <w:p>
      <w:pPr>
        <w:keepNext/>
        <w:spacing w:before="80" w:after="20" w:line="240" w:lineRule="auto"/>
        <w:jc w:val="left"/>
      </w:pPr>
      <w:r>
        <w:rPr>
          <w:rFonts w:ascii="Times New Roman" w:hAnsi="Times New Roman"/>
          <w:b w:val="0"/>
          <w:sz w:val="21"/>
        </w:rPr>
        <w:t>Table S2. Cross-trip spectral vibration census across four standardized road categories.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rPr>
          <w:cantSplit/>
          <w:tblHeader/>
        </w:trPr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single" w:sz="12" w:space="0" w:color="000000"/>
              <w:left w:val="none" w:sz="4" w:space="0" w:color="auto"/>
              <w:bottom w:val="single" w:sz="6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color w:val="000000"/>
                <w:sz w:val="17"/>
              </w:rPr>
              <w:t>Road Environment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single" w:sz="12" w:space="0" w:color="000000"/>
              <w:left w:val="none" w:sz="4" w:space="0" w:color="auto"/>
              <w:bottom w:val="single" w:sz="6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color w:val="000000"/>
                <w:sz w:val="17"/>
              </w:rPr>
              <w:t>Trips Analyzed (N)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single" w:sz="12" w:space="0" w:color="000000"/>
              <w:left w:val="none" w:sz="4" w:space="0" w:color="auto"/>
              <w:bottom w:val="single" w:sz="6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color w:val="000000"/>
                <w:sz w:val="17"/>
              </w:rPr>
              <w:t>Total 1-s Windows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single" w:sz="12" w:space="0" w:color="000000"/>
              <w:left w:val="none" w:sz="4" w:space="0" w:color="auto"/>
              <w:bottom w:val="single" w:sz="6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color w:val="000000"/>
                <w:sz w:val="17"/>
              </w:rPr>
              <w:t>Dominant Spectral Peak (Hz)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single" w:sz="12" w:space="0" w:color="000000"/>
              <w:left w:val="none" w:sz="4" w:space="0" w:color="auto"/>
              <w:bottom w:val="single" w:sz="6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color w:val="000000"/>
                <w:sz w:val="17"/>
              </w:rPr>
              <w:t>Pearson Correlation (</w:t>
            </w:r>
            <m:oMath>
              <m:r>
                <m:t>r</m:t>
              </m:r>
            </m:oMath>
            <w:r>
              <w:rPr>
                <w:rFonts w:ascii="Times New Roman" w:hAnsi="Times New Roman"/>
                <w:color w:val="000000"/>
                <w:sz w:val="17"/>
              </w:rPr>
              <w:t>) with Speed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single" w:sz="12" w:space="0" w:color="000000"/>
              <w:left w:val="none" w:sz="4" w:space="0" w:color="auto"/>
              <w:bottom w:val="single" w:sz="6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color w:val="000000"/>
                <w:sz w:val="17"/>
              </w:rPr>
              <w:t>Spearman Correlation (</w:t>
            </w:r>
            <m:oMath>
              <m:r>
                <m:t>ρ</m:t>
              </m:r>
            </m:oMath>
            <w:r>
              <w:rPr>
                <w:rFonts w:ascii="Times New Roman" w:hAnsi="Times New Roman"/>
                <w:color w:val="000000"/>
                <w:sz w:val="17"/>
              </w:rPr>
              <w:t>) with Speed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single" w:sz="12" w:space="0" w:color="000000"/>
              <w:left w:val="none" w:sz="4" w:space="0" w:color="auto"/>
              <w:bottom w:val="single" w:sz="6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color w:val="000000"/>
                <w:sz w:val="17"/>
              </w:rPr>
              <w:t>Physical Interpretation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Suburban Towns (Vta)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30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218450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2.24 ± 0.18 Hz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-0.028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-0.024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Consistent with low-frequency vehicle-body/chassis dynamics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Dense Urban (Vtb)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12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40890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2.31 ± 0.22 Hz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-0.041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-0.035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Consistent with road-surface excitation and low-frequency vehicle dynamics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Mountain Routes (Vw)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20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170920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2.45 ± 0.15 Hz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-0.019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-0.016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Consistent with chassis/body dynamics under curved-road motion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Motorways (V-Vfa)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2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39180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2.86 ± 0.12 Hz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-0.038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-0.031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Persistent spectral peak across speed bands; physical mechanism not directly identified</w:t>
            </w:r>
          </w:p>
        </w:tc>
      </w:tr>
      <w:tr>
        <w:trPr>
          <w:cantSplit/>
        </w:trPr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single" w:sz="12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Complete Corpus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single" w:sz="12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64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single" w:sz="12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&gt;450,000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single" w:sz="12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2.2–2.5 Hz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single" w:sz="12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-0.032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single" w:sz="12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-0.028</w:t>
            </w:r>
          </w:p>
        </w:tc>
        <w:tc>
          <w:tcPr>
            <w:tcW w:type="dxa" w:w="1337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single" w:sz="12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No reliable speed signal identified at 10 Hz feature rate</w:t>
            </w:r>
          </w:p>
        </w:tc>
      </w:tr>
    </w:tbl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i/>
          <w:color w:val="000000"/>
          <w:sz w:val="24"/>
        </w:rPr>
        <w:t>Methodological Note: Power spectral density was computed causally using Welch periodograms across 1.0-second sliding windows (10 samples, zero-padded to 64 points) on tri-axial specific forces and angular velocities.</w:t>
      </w:r>
    </w:p>
    <w:p>
      <w:pPr>
        <w:keepNext/>
        <w:spacing w:before="80" w:after="40" w:line="240" w:lineRule="auto"/>
        <w:jc w:val="left"/>
      </w:pPr>
      <w:r>
        <w:rPr>
          <w:rFonts w:ascii="Times New Roman" w:hAnsi="Times New Roman"/>
          <w:b w:val="0"/>
          <w:sz w:val="24"/>
        </w:rPr>
        <w:t>Supplementary Table S3: On-Device Android Execution Profiling and Numerical Parity</w:t>
      </w:r>
    </w:p>
    <w:p>
      <w:pPr>
        <w:keepNext/>
        <w:spacing w:before="80" w:after="20" w:line="240" w:lineRule="auto"/>
        <w:jc w:val="left"/>
      </w:pPr>
      <w:r>
        <w:rPr>
          <w:rFonts w:ascii="Times New Roman" w:hAnsi="Times New Roman"/>
          <w:b w:val="0"/>
          <w:sz w:val="21"/>
        </w:rPr>
        <w:t>Table S3 details the execution latency and cross-platform numerical parity between the mobile Android deployment (Java/EJML/ONNX Runtime) on a Google Pixel 7a and the 64-bit Python reference engine.</w:t>
      </w:r>
    </w:p>
    <w:p>
      <w:pPr>
        <w:keepNext/>
        <w:spacing w:before="80" w:after="20" w:line="240" w:lineRule="auto"/>
        <w:jc w:val="left"/>
      </w:pPr>
      <w:r>
        <w:rPr>
          <w:rFonts w:ascii="Times New Roman" w:hAnsi="Times New Roman"/>
          <w:b w:val="0"/>
          <w:sz w:val="21"/>
        </w:rPr>
        <w:t>Table S3. Mobile execution benchmarks and cross-platform numerical parity on Google Pixel 7a.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/>
          <w:tblHeader/>
        </w:trPr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single" w:sz="12" w:space="0" w:color="000000"/>
              <w:left w:val="none" w:sz="4" w:space="0" w:color="auto"/>
              <w:bottom w:val="single" w:sz="6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>
              <w:rPr>
                <w:b/>
              </w:rPr>
            </w:r>
            <w:r>
              <w:rPr>
                <w:rFonts w:ascii="Times New Roman" w:hAnsi="Times New Roman"/>
                <w:color w:val="000000"/>
                <w:sz w:val="17"/>
              </w:rPr>
              <w:t>Pipeline Subsystem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single" w:sz="12" w:space="0" w:color="000000"/>
              <w:left w:val="none" w:sz="4" w:space="0" w:color="auto"/>
              <w:bottom w:val="single" w:sz="6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color w:val="000000"/>
                <w:sz w:val="17"/>
              </w:rPr>
              <w:t>Implementation Language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single" w:sz="12" w:space="0" w:color="000000"/>
              <w:left w:val="none" w:sz="4" w:space="0" w:color="auto"/>
              <w:bottom w:val="single" w:sz="6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color w:val="000000"/>
                <w:sz w:val="17"/>
              </w:rPr>
              <w:t>Runtime Framework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single" w:sz="12" w:space="0" w:color="000000"/>
              <w:left w:val="none" w:sz="4" w:space="0" w:color="auto"/>
              <w:bottom w:val="single" w:sz="6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color w:val="000000"/>
                <w:sz w:val="17"/>
              </w:rPr>
              <w:t>Mean Execution Latency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single" w:sz="12" w:space="0" w:color="000000"/>
              <w:left w:val="none" w:sz="4" w:space="0" w:color="auto"/>
              <w:bottom w:val="single" w:sz="6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color w:val="000000"/>
                <w:sz w:val="17"/>
              </w:rPr>
              <w:t>Peak Latency (99th %tile)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single" w:sz="12" w:space="0" w:color="000000"/>
              <w:left w:val="none" w:sz="4" w:space="0" w:color="auto"/>
              <w:bottom w:val="single" w:sz="6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>
              <w:rPr>
                <w:b/>
              </w:rPr>
            </w:r>
            <w:r>
              <w:rPr>
                <w:rFonts w:ascii="Times New Roman" w:hAnsi="Times New Roman"/>
                <w:color w:val="000000"/>
                <w:sz w:val="17"/>
              </w:rPr>
              <w:t>Maximum Discrepancy vs. Python 64-bit Engine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IMU Ingestion &amp; Decimation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Kotlin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Android SensorManager HAL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0.12 ms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0.35 ms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Identical (Zero difference)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Coordinate Leveling &amp; PCA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Java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Native Linear Algebra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0.24 ms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0.58 ms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Leveling Angle: &lt;0.005°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TCN Forward Inference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C++ / Java Bindings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ONNX Runtime Mobile v1.16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5.82 ms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7.84 ms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Speed: &lt;0.001 m/s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15-State ESKF Propagation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Java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Efficient Java Matrix Library (EJML)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0.94 ms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1.38 ms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Position: 0.24177 m; Heading: 0.01829°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Decoupled Velocity Damping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Java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Custom EJML Matrix Slice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0.18 ms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0.32 ms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Velocity: 0.02117 m/s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Open-Loop Vector Mapping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Kotlin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OSMDroid Offline Engine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1.85 ms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3.42 ms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none" w:sz="4" w:space="0" w:color="auto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color w:val="000000"/>
                <w:sz w:val="17"/>
              </w:rPr>
              <w:t>Render: &lt;1 frame</w:t>
            </w:r>
          </w:p>
        </w:tc>
      </w:tr>
      <w:tr>
        <w:trPr>
          <w:cantSplit/>
        </w:trPr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single" w:sz="12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left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Total Navigation Epoch Loop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single" w:sz="12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Mixed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single" w:sz="12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End-to-End Android Pipeline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single" w:sz="12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9.15 ms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single" w:sz="12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13.89 ms</w:t>
            </w:r>
          </w:p>
        </w:tc>
        <w:tc>
          <w:tcPr>
            <w:tcW w:type="dxa" w:w="1560"/>
            <w:vAlign w:val="center"/>
            <w:tcMar>
              <w:top w:w="15" w:type="dxa"/>
              <w:bottom w:w="15" w:type="dxa"/>
              <w:left w:w="30" w:type="dxa"/>
              <w:right w:w="30" w:type="dxa"/>
            </w:tcMar>
            <w:tcBorders>
              <w:top w:val="none" w:sz="4" w:space="0" w:color="auto"/>
              <w:left w:val="none" w:sz="4" w:space="0" w:color="auto"/>
              <w:bottom w:val="single" w:sz="12" w:space="0" w:color="000000"/>
              <w:right w:val="none" w:sz="4" w:space="0" w:color="auto"/>
            </w:tcBorders>
          </w:tcPr>
          <w:p>
            <w:pPr>
              <w:spacing w:line="240" w:lineRule="auto" w:before="0" w:after="0"/>
              <w:jc w:val="center"/>
            </w:pPr>
            <w:r/>
            <w:r>
              <w:rPr>
                <w:rFonts w:ascii="Times New Roman" w:hAnsi="Times New Roman"/>
                <w:b/>
                <w:color w:val="000000"/>
                <w:sz w:val="17"/>
              </w:rPr>
              <w:t>Within the 100-ms epoch budget</w:t>
            </w:r>
          </w:p>
        </w:tc>
      </w:tr>
    </w:tbl>
    <w:p>
      <w:pPr>
        <w:keepNext/>
        <w:spacing w:before="80" w:after="40" w:line="240" w:lineRule="auto"/>
        <w:jc w:val="left"/>
      </w:pPr>
      <w:r>
        <w:rPr>
          <w:rFonts w:ascii="Times New Roman" w:hAnsi="Times New Roman"/>
          <w:b w:val="0"/>
          <w:sz w:val="24"/>
        </w:rPr>
        <w:t>Supplementary Section S1: Mathematical Derivation of Causal Receptive Field Reach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 xml:space="preserve">The causal Temporal Convolutional Network (TCN) operates over a sliding temporal buffer of </w:t>
      </w:r>
      <m:oMath>
        <m:r>
          <m:t>W=100</m:t>
        </m:r>
      </m:oMath>
      <w:r>
        <w:rPr>
          <w:rFonts w:ascii="Times New Roman" w:hAnsi="Times New Roman"/>
          <w:color w:val="000000"/>
          <w:sz w:val="24"/>
        </w:rPr>
        <w:t xml:space="preserve"> samples (10.0 s at 10 Hz). To ensure that predictions depend strictly on past motion dynamics with zero dependency on future epochs, causal convolutions are enforced via asymmetric left-padding.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 xml:space="preserve">For a 1D convolutional network with </w:t>
      </w:r>
      <m:oMath>
        <m:r>
          <m:t>L</m:t>
        </m:r>
      </m:oMath>
      <w:r>
        <w:rPr>
          <w:rFonts w:ascii="Times New Roman" w:hAnsi="Times New Roman"/>
          <w:color w:val="000000"/>
          <w:sz w:val="24"/>
        </w:rPr>
        <w:t xml:space="preserve"> dilated residual blocks, kernel size </w:t>
      </w:r>
      <m:oMath>
        <m:r>
          <m:t>k</m:t>
        </m:r>
      </m:oMath>
      <w:r>
        <w:rPr>
          <w:rFonts w:ascii="Times New Roman" w:hAnsi="Times New Roman"/>
          <w:color w:val="000000"/>
          <w:sz w:val="24"/>
        </w:rPr>
        <w:t xml:space="preserve">, and dilation factor </w:t>
      </w:r>
      <m:oMath>
        <m:sSub>
          <m:e>
            <m:r>
              <m:t>d</m:t>
            </m:r>
          </m:e>
          <m:sub>
            <m:r>
              <m:t>l</m:t>
            </m:r>
          </m:sub>
        </m:sSub>
      </m:oMath>
      <w:r>
        <w:rPr>
          <w:rFonts w:ascii="Times New Roman" w:hAnsi="Times New Roman"/>
          <w:color w:val="000000"/>
          <w:sz w:val="24"/>
        </w:rPr>
        <w:t xml:space="preserve"> at layer </w:t>
      </w:r>
      <m:oMath>
        <m:r>
          <m:t>l</m:t>
        </m:r>
      </m:oMath>
      <w:r>
        <w:rPr>
          <w:rFonts w:ascii="Times New Roman" w:hAnsi="Times New Roman"/>
          <w:color w:val="000000"/>
          <w:sz w:val="24"/>
        </w:rPr>
        <w:t xml:space="preserve">, the mathematical receptive field reach </w:t>
      </w:r>
      <m:oMath>
        <m:r>
          <m:t>R</m:t>
        </m:r>
      </m:oMath>
      <w:r>
        <w:rPr>
          <w:rFonts w:ascii="Times New Roman" w:hAnsi="Times New Roman"/>
          <w:color w:val="000000"/>
          <w:sz w:val="24"/>
        </w:rPr>
        <w:t xml:space="preserve"> (expressed in sample steps) is given by:</w:t>
      </w:r>
    </w:p>
    <w:p>
      <w:pPr>
        <w:spacing w:before="40" w:after="40" w:line="240" w:lineRule="auto"/>
        <w:jc w:val="center"/>
      </w:pPr>
      <m:oMath>
        <m:r>
          <m:t>R=1+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l=0</m:t>
            </m:r>
          </m:sub>
          <m:sup>
            <m:r>
              <m:t>L−1</m:t>
            </m:r>
          </m:sup>
          <m:e>
            <m:r>
              <m:t>(k−1)·</m:t>
            </m:r>
          </m:e>
        </m:nary>
        <m:sSub>
          <m:e>
            <m:r>
              <m:t>d</m:t>
            </m:r>
          </m:e>
          <m:sub>
            <m:r>
              <m:t>l</m:t>
            </m:r>
          </m:sub>
        </m:sSub>
      </m:oMath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In the TCN architecture, the parameters are:</w:t>
      </w:r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 xml:space="preserve">* Number of dilated residual layers: </w:t>
      </w:r>
      <m:oMath>
        <m:r>
          <m:t>L=4</m:t>
        </m:r>
      </m:oMath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 xml:space="preserve">* Convolutional kernel size: </w:t>
      </w:r>
      <m:oMath>
        <m:r>
          <m:t>k=3</m:t>
        </m:r>
      </m:oMath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 xml:space="preserve">* Dilation schedule: </w:t>
      </w:r>
      <m:oMath>
        <m:sSub>
          <m:e>
            <m:r>
              <m:t>d</m:t>
            </m:r>
          </m:e>
          <m:sub>
            <m:r>
              <m:t>l</m:t>
            </m:r>
          </m:sub>
        </m:sSub>
        <m:r>
          <m:t>∈{1,2,4,8}</m:t>
        </m:r>
      </m:oMath>
      <w:r>
        <w:rPr>
          <w:rFonts w:ascii="Times New Roman" w:hAnsi="Times New Roman"/>
          <w:color w:val="000000"/>
          <w:sz w:val="24"/>
        </w:rPr>
        <w:t xml:space="preserve"> for </w:t>
      </w:r>
      <m:oMath>
        <m:r>
          <m:t>l∈{0,1,2,3}</m:t>
        </m:r>
      </m:oMath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 xml:space="preserve">Each residual block contains two sequential dilated convolutional layers with identical dilation </w:t>
      </w:r>
      <m:oMath>
        <m:sSub>
          <m:e>
            <m:r>
              <m:t>d</m:t>
            </m:r>
          </m:e>
          <m:sub>
            <m:r>
              <m:t>l</m:t>
            </m:r>
          </m:sub>
        </m:sSub>
      </m:oMath>
      <w:r>
        <w:rPr>
          <w:rFonts w:ascii="Times New Roman" w:hAnsi="Times New Roman"/>
          <w:color w:val="000000"/>
          <w:sz w:val="24"/>
        </w:rPr>
        <w:t>. Substituting these values:</w:t>
      </w:r>
    </w:p>
    <w:p>
      <w:pPr>
        <w:spacing w:before="40" w:after="40" w:line="240" w:lineRule="auto"/>
        <w:jc w:val="center"/>
      </w:pPr>
      <m:oMath>
        <m:sSub>
          <m:e>
            <m:r>
              <m:t>R</m:t>
            </m:r>
          </m:e>
          <m:sub>
            <m:r>
              <m:rPr>
                <m:nor/>
              </m:rPr>
              <m:t>block</m:t>
            </m:r>
            <m:r>
              <m:t>,l</m:t>
            </m:r>
          </m:sub>
        </m:sSub>
        <m:r>
          <m:t>=2·(k−1)·</m:t>
        </m:r>
        <m:sSub>
          <m:e>
            <m:r>
              <m:t>d</m:t>
            </m:r>
          </m:e>
          <m:sub>
            <m:r>
              <m:t>l</m:t>
            </m:r>
          </m:sub>
        </m:sSub>
        <m:r>
          <m:t>=2·(3−1)·</m:t>
        </m:r>
        <m:sSub>
          <m:e>
            <m:r>
              <m:t>d</m:t>
            </m:r>
          </m:e>
          <m:sub>
            <m:r>
              <m:t>l</m:t>
            </m:r>
          </m:sub>
        </m:sSub>
        <m:r>
          <m:t>=4</m:t>
        </m:r>
        <m:sSub>
          <m:e>
            <m:r>
              <m:t>d</m:t>
            </m:r>
          </m:e>
          <m:sub>
            <m:r>
              <m:t>l</m:t>
            </m:r>
          </m:sub>
        </m:sSub>
      </m:oMath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Summing across all four dilated blocks:</w:t>
      </w:r>
    </w:p>
    <w:p>
      <w:pPr>
        <w:spacing w:before="40" w:after="40" w:line="240" w:lineRule="auto"/>
        <w:jc w:val="center"/>
      </w:pPr>
      <m:oMath>
        <m:r>
          <m:t>R=1+</m:t>
        </m:r>
        <m:nary>
          <m:naryPr>
            <m:chr m:val="∑"/>
            <m:limLoc m:val="subSup"/>
            <m:grow m:val="1"/>
            <m:subHide m:val="off"/>
            <m:supHide m:val="off"/>
          </m:naryPr>
          <m:sub>
            <m:r>
              <m:t>l=0</m:t>
            </m:r>
          </m:sub>
          <m:sup>
            <m:r>
              <m:t>3</m:t>
            </m:r>
          </m:sup>
          <m:e>
            <m:r>
              <m:t>4</m:t>
            </m:r>
          </m:e>
        </m:nary>
        <m:sSub>
          <m:e>
            <m:r>
              <m:t>d</m:t>
            </m:r>
          </m:e>
          <m:sub>
            <m:r>
              <m:t>l</m:t>
            </m:r>
          </m:sub>
        </m:sSub>
        <m:r>
          <m:t>=1+4·(1+2+4+8)=1+4·15=61</m:t>
        </m:r>
        <m:r>
          <m:rPr>
            <m:nor/>
          </m:rPr>
          <m:t> samples</m:t>
        </m:r>
      </m:oMath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>At the nominal 10.0 Hz sampling rate, 61 samples correspond to an effective causal look-back interval of:</w:t>
      </w:r>
    </w:p>
    <w:p>
      <w:pPr>
        <w:spacing w:before="40" w:after="40" w:line="240" w:lineRule="auto"/>
        <w:jc w:val="center"/>
      </w:pPr>
      <m:oMath>
        <m:sSub>
          <m:e>
            <m:r>
              <m:t>τ</m:t>
            </m:r>
          </m:e>
          <m:sub>
            <m:r>
              <m:rPr>
                <m:nor/>
              </m:rPr>
              <m:t>causal</m:t>
            </m:r>
          </m:sub>
        </m:sSub>
        <m:r>
          <m:t>=(61−1)×0.10</m:t>
        </m:r>
        <m:r>
          <m:rPr>
            <m:nor/>
          </m:rPr>
          <m:t> s</m:t>
        </m:r>
        <m:r>
          <m:t>=6.0</m:t>
        </m:r>
        <m:r>
          <m:rPr>
            <m:nor/>
          </m:rPr>
          <m:t> seconds</m:t>
        </m:r>
      </m:oMath>
    </w:p>
    <w:p>
      <w:pPr>
        <w:spacing w:before="0" w:after="0" w:line="240" w:lineRule="auto"/>
        <w:ind w:firstLine="0"/>
        <w:jc w:val="both"/>
      </w:pPr>
      <w:r>
        <w:rPr>
          <w:rFonts w:ascii="Times New Roman" w:hAnsi="Times New Roman"/>
          <w:color w:val="000000"/>
          <w:sz w:val="24"/>
        </w:rPr>
        <w:t xml:space="preserve">representing input dependency on the causal interval </w:t>
      </w:r>
      <m:oMath>
        <m:d>
          <m:dPr>
            <m:begChr m:val="["/>
            <m:sepChr m:val=""/>
            <m:endChr m:val="]"/>
          </m:dPr>
          <m:e>
            <m:r>
              <m:t>t</m:t>
            </m:r>
            <m:r>
              <m:t>−</m:t>
            </m:r>
            <m:r>
              <m:t>60</m:t>
            </m:r>
            <m:r>
              <m:t>,</m:t>
            </m:r>
            <m:r>
              <m:t>t</m:t>
            </m:r>
          </m:e>
        </m:d>
      </m:oMath>
      <w:r>
        <w:rPr>
          <w:rFonts w:ascii="Times New Roman" w:hAnsi="Times New Roman"/>
          <w:color w:val="000000"/>
          <w:sz w:val="24"/>
        </w:rPr>
        <w:t>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