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40" w:line="240" w:lineRule="auto"/>
        <w:jc w:val="left"/>
      </w:pPr>
      <w:r>
        <w:rPr>
          <w:rFonts w:ascii="Times New Roman" w:hAnsi="Times New Roman"/>
          <w:b w:val="0"/>
          <w:sz w:val="28"/>
        </w:rPr>
        <w:t>Supplementary Material: Failure-Aware Smartphone Inertial Dead Reckoning Under GNSS Outages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Article Title:</w:t>
      </w:r>
      <w:r>
        <w:rPr>
          <w:rFonts w:ascii="Times New Roman" w:hAnsi="Times New Roman"/>
          <w:color w:val="000000"/>
          <w:sz w:val="24"/>
        </w:rPr>
        <w:t xml:space="preserve"> Failure-Aware Smartphone Inertial Dead Reckoning Under GNSS Outages: An Empirical Study of Learned Velocity, Sensor Fusion, Map Constraints, and Distribution Shift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Journal: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000000"/>
          <w:sz w:val="24"/>
        </w:rPr>
        <w:t>The Journal of Navigation</w:t>
      </w:r>
      <w:r>
        <w:rPr>
          <w:rFonts w:ascii="Times New Roman" w:hAnsi="Times New Roman"/>
          <w:color w:val="000000"/>
          <w:sz w:val="24"/>
        </w:rPr>
        <w:t xml:space="preserve"> (Cambridge University Press / Royal Institute of Navigation)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Author:</w:t>
      </w:r>
      <w:r>
        <w:rPr>
          <w:rFonts w:ascii="Times New Roman" w:hAnsi="Times New Roman"/>
          <w:color w:val="000000"/>
          <w:sz w:val="24"/>
        </w:rPr>
        <w:t xml:space="preserve"> Rahul Kumar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Affiliation:</w:t>
      </w:r>
      <w:r>
        <w:rPr>
          <w:rFonts w:ascii="Times New Roman" w:hAnsi="Times New Roman"/>
          <w:color w:val="000000"/>
          <w:sz w:val="24"/>
        </w:rPr>
        <w:t xml:space="preserve"> Integrated M.Tech. (Materials Engineering), School of Engineering Sciences &amp; Technology, University of Hyderabad, Hyderabad, India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Corresponding Email:</w:t>
      </w:r>
      <w:r>
        <w:rPr>
          <w:rFonts w:ascii="Times New Roman" w:hAnsi="Times New Roman"/>
          <w:color w:val="000000"/>
          <w:sz w:val="24"/>
        </w:rPr>
        <w:t xml:space="preserve"> 24f2001869@ds.study.iitm.ac.in</w:t>
      </w:r>
    </w:p>
    <w:p>
      <w:pPr>
        <w:keepNext/>
        <w:spacing w:before="60" w:after="20" w:line="240" w:lineRule="auto"/>
        <w:jc w:val="left"/>
      </w:pPr>
      <w:r>
        <w:rPr>
          <w:rFonts w:ascii="Times New Roman" w:hAnsi="Times New Roman"/>
          <w:i/>
          <w:sz w:val="24"/>
        </w:rPr>
        <w:t>Overview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This supplementary document provides extended tabular data, detailed per-trip forensic metrics, hardware profiling logs, and mathematical derivations supporting the main article. All evaluations utilize the public IO-VNBD benchmark dataset (Onyekpe et al., 2021) and on-device Android mobile execution on a Google Pixel 7a smartphone.</w:t>
      </w:r>
    </w:p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Table S1: Per-Trip Performance Breakdown Under 60-Second GNSS Blackouts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The main manuscript presents aggregate and category-level metrics across the 13 usable held-out test routes. Table S1 provides the comprehensive route-by-route results for both unassisted strapdown inertial dead reckoning and the proposed NavSense adaptive fusion engine.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S1. Detailed route-by-route evaluation across all 13 usable held-out test trips under 60-second satellite outages.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blHeader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Trip ID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Route Environment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Reference Distance (m)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Pure Strapdown Drift (m)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Pure Strapdown Drift (%)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NavSense Adaptive Drift (m)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NavSense Adaptive Drift (%)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SIH Benchmark Status (&lt;10%)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Observed Dynamic Characteristics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786.7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406.8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51.45%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61.5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7.88%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 (PASS)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Steady suburban cruising along arterial corridor; bounded drift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641.3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176.7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27.72%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107.7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16.84%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Frequent stop-and-go queue; velocity dampens with traffic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570.1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352.9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62.40%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156.8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26.16%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Sharp 90-degree intersection turn during blackout window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Vta24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384.8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293.6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73.42%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57.0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14.65%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Commercial zone corridor; low-speed transient manoeuvres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258.7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292.8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574.65%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66.3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47.31%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Short transit crawl; large percentage due to short travel distance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818.9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306.5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37.18%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95.9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12.68%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Signalised arterial road with moderate speed transitions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565.3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281.8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64.92%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120.6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25.30%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Roundabout entry and deceleration into residential zone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1500.2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650.3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43.40%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45.3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3.01%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 (PASS)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Continuous mountain descent; highly dynamic centripetal cues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Vw14a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1511.1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312.6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21.06%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130.4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8.54%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 (PASS)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Rural mountain corridor with sweeping curves and steady throttle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Vw14b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1264.5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432.8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42.48%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121.0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10.19%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Consecutive hairpins; centripetal acceleration transitions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Vw16a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899.9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388.5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51.76%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136.1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16.88%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High curvature hill climb with frequent throttle modulations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V-Vfa02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Motorway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1460.3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313.9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25.44%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157.2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11.69%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Unaccelerated high-speed cruising; negative TCN regression bias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Stationary Control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450.48%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0.82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63.83%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Zero-velocity control trip; standstill clamped by causal ZVD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Mean / Total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All 13 Routes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820.2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324.21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89.66%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96.65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16.76%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3 / 13 (23.08%)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Complete Held-Out 60-s Evaluation Set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i/>
          <w:color w:val="000000"/>
          <w:sz w:val="24"/>
        </w:rPr>
        <w:t>Note: In accordance with the experimental protocol, trips with total durations shorter than 70.0 seconds are excluded from the 60-second evaluation set because they cannot accommodate the 10-second pre-outage calibration window plus the 60-second blackout duration. Macro-average normalized drift weights each dynamic trip equally, excluding the stationary control trip Vw15 from the percentage mean per Equation (13) to prevent division-by-zero distortion.</w:t>
      </w:r>
    </w:p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Table S2: Spectral Vibration Speed Audit Across 64 Vehicle Trips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To evaluate the hypothesis that vehicle road and engine vibration captured by consumer smartphone IMUs provides a reliable proxy for vehicle forward speed, Table S2 summarizes the spectral census across all 64 passenger-car trips in the IO-VNBD dataset (&gt;450,000 one-second FFT windows).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S2. Cross-trip spectral vibration census across four standardized road categories.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Road Environment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Trips Analyzed (N)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Total 1-s Windows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Dominant Spectral Peak (Hz)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Pearson Correlation (</w:t>
            </w:r>
            <m:oMath>
              <m:r>
                <m:t>r</m:t>
              </m:r>
            </m:oMath>
            <w:r>
              <w:rPr>
                <w:rFonts w:ascii="Times New Roman" w:hAnsi="Times New Roman"/>
                <w:color w:val="000000"/>
                <w:sz w:val="17"/>
              </w:rPr>
              <w:t>) with Speed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Spearman Correlation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color w:val="000000"/>
                <w:sz w:val="17"/>
              </w:rPr>
              <w:t>) with Speed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Physical Interpretation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Suburban Towns (Vta)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218450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2.24 ± 0.18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-0.028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-0.024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Consistent with low-frequency vehicle-body/chassis dynamics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Dense Urban (Vtb)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40890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2.31 ± 0.22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-0.041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-0.035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Consistent with road-surface excitation and low-frequency vehicle dynamics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Mountain Routes (Vw)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170920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2.45 ± 0.15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-0.019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-0.016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Consistent with chassis/body dynamics under curved-road motion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Motorways (V-Vfa)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39180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2.86 ± 0.12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-0.038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-0.031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Persistent spectral peak across speed bands; physical mechanism not directly identified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Complete Corpus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64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&gt;450,000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2.2–2.5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-0.032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-0.028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No reliable speed signal identified at 10 Hz feature rate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i/>
          <w:color w:val="000000"/>
          <w:sz w:val="24"/>
        </w:rPr>
        <w:t>Methodological Note: Power spectral density was computed causally using Welch periodograms across 1.0-second sliding windows (10 samples, zero-padded to 64 points) on tri-axial specific forces and angular velocities.</w:t>
      </w:r>
    </w:p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Table S3: On-Device Android Execution Profiling and Numerical Parity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S3 details the execution latency, memory utilization, and cross-platform numerical parity between the mobile Android deployment (Java/EJML/ONNX Runtime) on a Google Pixel 7a and the 64-bit Python reference engine.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S3. Mobile execution benchmarks and cross-platform numerical parity on Google Pixel 7a.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Pipeline Subsystem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Implementation Language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Runtime Framework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Mean Execution Latency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Peak Latency (99th %tile)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Maximum Discrepancy vs. Python 64-bit Engine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IMU Ingestion &amp; Decimation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Kotlin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Android SensorManager HAL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0.12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0.35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Identical (Zero difference)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Coordinate Leveling &amp; PCA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Java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Native Linear Algebra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0.24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0.58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Leveling Angle: &lt;0.005°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TCN Forward Inference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C++ / Java Bindings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ONNX Runtime Mobile v1.16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5.82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7.84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Speed: &lt;0.001 m/s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15-State ESKF Propagation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Java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Efficient Java Matrix Library (EJML)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0.94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1.38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Position: 0.24177 m; Heading: 0.01829°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Decoupled Velocity Damping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Java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Custom EJML Matrix Slice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0.18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0.32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Velocity: 0.02117 m/s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Open-Loop Vector Mapping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Kotlin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OSMDroid Offline Engine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1.85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3.42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Render: &lt;1 frame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Total Navigation Epoch Loop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Mixed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End-to-End Android Pipeline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9.15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13.89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Within the 100-ms epoch budget</w:t>
            </w:r>
          </w:p>
        </w:tc>
      </w:tr>
    </w:tbl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Section S1: Mathematical Derivation of Causal Receptive Field Reach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The causal Temporal Convolutional Network (TCN) operates over a sliding temporal buffer of </w:t>
      </w:r>
      <m:oMath>
        <m:r>
          <m:t>W=100</m:t>
        </m:r>
      </m:oMath>
      <w:r>
        <w:rPr>
          <w:rFonts w:ascii="Times New Roman" w:hAnsi="Times New Roman"/>
          <w:color w:val="000000"/>
          <w:sz w:val="24"/>
        </w:rPr>
        <w:t xml:space="preserve"> samples (10.0 s at 10 Hz). To ensure that predictions depend strictly on past motion dynamics with zero dependency on future epochs, causal convolutions are enforced via asymmetric left-padding.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For a 1D convolutional network with </w:t>
      </w:r>
      <m:oMath>
        <m:r>
          <m:t>L</m:t>
        </m:r>
      </m:oMath>
      <w:r>
        <w:rPr>
          <w:rFonts w:ascii="Times New Roman" w:hAnsi="Times New Roman"/>
          <w:color w:val="000000"/>
          <w:sz w:val="24"/>
        </w:rPr>
        <w:t xml:space="preserve"> dilated residual blocks, kernel size </w:t>
      </w:r>
      <m:oMath>
        <m:r>
          <m:t>k</m:t>
        </m:r>
      </m:oMath>
      <w:r>
        <w:rPr>
          <w:rFonts w:ascii="Times New Roman" w:hAnsi="Times New Roman"/>
          <w:color w:val="000000"/>
          <w:sz w:val="24"/>
        </w:rPr>
        <w:t xml:space="preserve">, and dilation factor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rPr>
          <w:rFonts w:ascii="Times New Roman" w:hAnsi="Times New Roman"/>
          <w:color w:val="000000"/>
          <w:sz w:val="24"/>
        </w:rPr>
        <w:t xml:space="preserve"> at layer </w:t>
      </w:r>
      <m:oMath>
        <m:r>
          <m:t>l</m:t>
        </m:r>
      </m:oMath>
      <w:r>
        <w:rPr>
          <w:rFonts w:ascii="Times New Roman" w:hAnsi="Times New Roman"/>
          <w:color w:val="000000"/>
          <w:sz w:val="24"/>
        </w:rPr>
        <w:t xml:space="preserve">, the mathematical receptive field reach </w:t>
      </w:r>
      <m:oMath>
        <m:r>
          <m:t>R</m:t>
        </m:r>
      </m:oMath>
      <w:r>
        <w:rPr>
          <w:rFonts w:ascii="Times New Roman" w:hAnsi="Times New Roman"/>
          <w:color w:val="000000"/>
          <w:sz w:val="24"/>
        </w:rPr>
        <w:t xml:space="preserve"> (expressed in sample steps) is given by:</w:t>
      </w:r>
    </w:p>
    <w:p>
      <w:pPr>
        <w:spacing w:before="40" w:after="40" w:line="240" w:lineRule="auto"/>
        <w:jc w:val="center"/>
      </w:pPr>
      <m:oMath>
        <m:r>
          <m:t>R=1+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r>
              <m:t>L−1</m:t>
            </m:r>
          </m:sup>
          <m:e>
            <m:r>
              <m:t>(k−1)·</m:t>
            </m:r>
          </m:e>
        </m:nary>
        <m:sSub>
          <m:e>
            <m:r>
              <m:t>d</m:t>
            </m:r>
          </m:e>
          <m:sub>
            <m:r>
              <m:t>l</m:t>
            </m:r>
          </m:sub>
        </m:sSub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In the TCN architecture, the parameters are: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* Number of dilated residual layers: </w:t>
      </w:r>
      <m:oMath>
        <m:r>
          <m:t>L=4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* Convolutional kernel size: </w:t>
      </w:r>
      <m:oMath>
        <m:r>
          <m:t>k=3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* Dilation schedule: </w:t>
      </w:r>
      <m:oMath>
        <m:sSub>
          <m:e>
            <m:r>
              <m:t>d</m:t>
            </m:r>
          </m:e>
          <m:sub>
            <m:r>
              <m:t>l</m:t>
            </m:r>
          </m:sub>
        </m:sSub>
        <m:r>
          <m:t>∈{1,2,4,8}</m:t>
        </m:r>
      </m:oMath>
      <w:r>
        <w:rPr>
          <w:rFonts w:ascii="Times New Roman" w:hAnsi="Times New Roman"/>
          <w:color w:val="000000"/>
          <w:sz w:val="24"/>
        </w:rPr>
        <w:t xml:space="preserve"> for </w:t>
      </w:r>
      <m:oMath>
        <m:r>
          <m:t>l∈{0,1,2,3}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Each residual block contains two sequential dilated convolutional layers with identical dilation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rPr>
          <w:rFonts w:ascii="Times New Roman" w:hAnsi="Times New Roman"/>
          <w:color w:val="000000"/>
          <w:sz w:val="24"/>
        </w:rPr>
        <w:t>. Substituting these values:</w:t>
      </w:r>
    </w:p>
    <w:p>
      <w:pPr>
        <w:spacing w:before="40" w:after="40" w:line="240" w:lineRule="auto"/>
        <w:jc w:val="center"/>
      </w:pPr>
      <m:oMath>
        <m:sSub>
          <m:e>
            <m:r>
              <m:t>R</m:t>
            </m:r>
          </m:e>
          <m:sub>
            <m:r>
              <m:rPr>
                <m:nor/>
              </m:rPr>
              <m:t>block</m:t>
            </m:r>
            <m:r>
              <m:t>,l</m:t>
            </m:r>
          </m:sub>
        </m:sSub>
        <m:r>
          <m:t>=2·(k−1)·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t>=2·(3−1)·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t>=4</m:t>
        </m:r>
        <m:sSub>
          <m:e>
            <m:r>
              <m:t>d</m:t>
            </m:r>
          </m:e>
          <m:sub>
            <m:r>
              <m:t>l</m:t>
            </m:r>
          </m:sub>
        </m:sSub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Summing across all four dilated blocks:</w:t>
      </w:r>
    </w:p>
    <w:p>
      <w:pPr>
        <w:spacing w:before="40" w:after="40" w:line="240" w:lineRule="auto"/>
        <w:jc w:val="center"/>
      </w:pPr>
      <m:oMath>
        <m:r>
          <m:t>R=1+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r>
              <m:t>3</m:t>
            </m:r>
          </m:sup>
          <m:e>
            <m:r>
              <m:t>4</m:t>
            </m:r>
          </m:e>
        </m:nary>
        <m:sSub>
          <m:e>
            <m:r>
              <m:t>d</m:t>
            </m:r>
          </m:e>
          <m:sub>
            <m:r>
              <m:t>l</m:t>
            </m:r>
          </m:sub>
        </m:sSub>
        <m:r>
          <m:t>=1+4·(1+2+4+8)=1+4·15=61</m:t>
        </m:r>
        <m:r>
          <m:rPr>
            <m:nor/>
          </m:rPr>
          <m:t> samples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At the nominal 10.0 Hz sampling rate, 61 samples correspond to an effective causal look-back interval of:</w:t>
      </w:r>
    </w:p>
    <w:p>
      <w:pPr>
        <w:spacing w:before="40" w:after="40" w:line="240" w:lineRule="auto"/>
        <w:jc w:val="center"/>
      </w:pPr>
      <m:oMath>
        <m:sSub>
          <m:e>
            <m:r>
              <m:t>τ</m:t>
            </m:r>
          </m:e>
          <m:sub>
            <m:r>
              <m:rPr>
                <m:nor/>
              </m:rPr>
              <m:t>causal</m:t>
            </m:r>
          </m:sub>
        </m:sSub>
        <m:r>
          <m:t>=(61−1)×0.10</m:t>
        </m:r>
        <m:r>
          <m:rPr>
            <m:nor/>
          </m:rPr>
          <m:t> s</m:t>
        </m:r>
        <m:r>
          <m:t>=6.0</m:t>
        </m:r>
        <m:r>
          <m:rPr>
            <m:nor/>
          </m:rPr>
          <m:t> seconds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representing input dependency on the causal interval </w:t>
      </w:r>
      <m:oMath>
        <m:d>
          <m:dPr>
            <m:begChr m:val="["/>
            <m:sepChr m:val=""/>
            <m:endChr m:val="]"/>
          </m:dPr>
          <m:e>
            <m:r>
              <m:t>t</m:t>
            </m:r>
            <m:r>
              <m:t>−</m:t>
            </m:r>
            <m:r>
              <m:t>60</m:t>
            </m:r>
            <m:r>
              <m:t>,</m:t>
            </m:r>
            <m:r>
              <m:t>t</m:t>
            </m:r>
          </m:e>
        </m:d>
      </m:oMath>
      <w:r>
        <w:rPr>
          <w:rFonts w:ascii="Times New Roman" w:hAnsi="Times New Roman"/>
          <w:color w:val="000000"/>
          <w:sz w:val="24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