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3864"/>
          <w:sz w:val="52"/>
          <w:szCs w:val="52"/>
        </w:rPr>
        <w:t xml:space="preserve">Student Academic Performance Analysis</w:t>
      </w:r>
    </w:p>
    <w:p>
      <w:pPr>
        <w:spacing w:before="80" w:after="80"/>
        <w:jc w:val="center"/>
      </w:pPr>
      <w:r>
        <w:rPr>
          <w:rFonts w:ascii="Arial" w:cs="Arial" w:eastAsia="Arial" w:hAnsi="Arial"/>
          <w:color w:val="2E75B6"/>
          <w:sz w:val="26"/>
          <w:szCs w:val="26"/>
        </w:rPr>
        <w:t xml:space="preserve">Cohorts 2018 – 2025  ·  Longitudinal Study</w:t>
      </w:r>
    </w:p>
    <w:p>
      <w:pPr>
        <w:spacing w:before="60" w:after="480"/>
        <w:jc w:val="center"/>
      </w:pPr>
      <w:r>
        <w:rPr>
          <w:rFonts w:ascii="Arial" w:cs="Arial" w:eastAsia="Arial" w:hAnsi="Arial"/>
          <w:color w:val="888888"/>
          <w:sz w:val="20"/>
          <w:szCs w:val="20"/>
        </w:rPr>
        <w:t xml:space="preserve">Exploratory Data Analysis  ·  Dip Detection  ·  QB Era Impact  ·  Clustering</w:t>
      </w:r>
    </w:p>
    <w:p>
      <w:pPr>
        <w:pBdr>
          <w:bottom w:val="single" w:color="CCCCCC" w:sz="4" w:space="1"/>
        </w:pBdr>
        <w:spacing w:before="160" w:after="160"/>
      </w:pPr>
      <w:r>
        <w:t xml:space="preserve"/>
      </w:r>
    </w:p>
    <w:p>
      <w:pPr>
        <w:spacing w:before="200" w:after="600"/>
        <w:jc w:val="center"/>
      </w:pPr>
      <w:r>
        <w:rPr>
          <w:rFonts w:ascii="Arial" w:cs="Arial" w:eastAsia="Arial" w:hAnsi="Arial"/>
          <w:i/>
          <w:iCs/>
          <w:color w:val="888888"/>
          <w:sz w:val="18"/>
          <w:szCs w:val="18"/>
        </w:rPr>
        <w:t xml:space="preserve">Note: The dataset used in this project is synthetically generated to simulate real academic patterns. All student names and IDs are fictional. The data structure, distributions, and behavioral patterns were designed to reflect realistic educational scenarios for analytical purposes.</w:t>
      </w:r>
    </w:p>
    <w:p>
      <w:r>
        <w:br w:type="page"/>
      </w:r>
    </w:p>
    <w:p>
      <w:pPr>
        <w:pStyle w:val="Heading1"/>
        <w:spacing w:before="360" w:after="120"/>
      </w:pPr>
      <w:r>
        <w:rPr>
          <w:rFonts w:ascii="Arial" w:cs="Arial" w:eastAsia="Arial" w:hAnsi="Arial"/>
          <w:b/>
          <w:bCs/>
          <w:color w:val="1F3864"/>
          <w:sz w:val="32"/>
          <w:szCs w:val="32"/>
        </w:rPr>
        <w:t xml:space="preserve">1. Project Overview</w:t>
      </w:r>
    </w:p>
    <w:p>
      <w:pPr>
        <w:spacing w:before="60" w:after="60" w:line="320"/>
      </w:pPr>
      <w:r>
        <w:rPr>
          <w:rFonts w:ascii="Arial" w:cs="Arial" w:eastAsia="Arial" w:hAnsi="Arial"/>
          <w:sz w:val="22"/>
          <w:szCs w:val="22"/>
        </w:rPr>
        <w:t xml:space="preserve">This project analyzes student academic performance across 8 cohorts (batches 2018–2025) using a semester-wise longitudinal dataset. The primary goal is to move beyond simple grade reporting and uncover the behavioral patterns, structural dips, and systemic changes that drive student outcomes.</w:t>
      </w:r>
    </w:p>
    <w:p>
      <w:pPr>
        <w:spacing w:before="80" w:after="80"/>
      </w:pPr>
      <w:r>
        <w:t xml:space="preserve"/>
      </w:r>
    </w:p>
    <w:p>
      <w:pPr>
        <w:spacing w:before="60" w:after="60" w:line="320"/>
      </w:pPr>
      <w:r>
        <w:rPr>
          <w:rFonts w:ascii="Arial" w:cs="Arial" w:eastAsia="Arial" w:hAnsi="Arial"/>
          <w:sz w:val="22"/>
          <w:szCs w:val="22"/>
        </w:rPr>
        <w:t xml:space="preserve">The dataset was synthetically generated to simulate a realistic academic environment, with 224 unique students each tracked across 8 semesters, producing 1,792 records in total.</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1.1  Dataset at a Glance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Total records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1,792</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224 students × 8 semesters each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Unique students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224</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Perfectly balanced — every student has all 8 semesters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Batches covered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2018 – 2025</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8 annual cohorts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Features per record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13</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Mid1, Mid2, Internals, EndTerm, Attendance, SGPA, etc.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Missing values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0</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Dataset is complete — no imputation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Performance labels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4 types</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Average (54.5%), Low Performer (17.9%), Consistent Topper (15.2%), Late Bloomer (12.5%)</w:t>
            </w:r>
          </w:p>
        </w:tc>
      </w:tr>
    </w:tbl>
    <w:p>
      <w:pPr>
        <w:spacing w:before="80" w:after="80"/>
      </w:pPr>
      <w:r>
        <w:t xml:space="preserve"/>
      </w:r>
    </w:p>
    <w:p>
      <w:pPr>
        <w:pStyle w:val="Heading2"/>
        <w:spacing w:before="280" w:after="80"/>
      </w:pPr>
      <w:r>
        <w:rPr>
          <w:rFonts w:ascii="Arial" w:cs="Arial" w:eastAsia="Arial" w:hAnsi="Arial"/>
          <w:b/>
          <w:bCs/>
          <w:color w:val="2E75B6"/>
          <w:sz w:val="26"/>
          <w:szCs w:val="26"/>
        </w:rPr>
        <w:t xml:space="preserve">1.2  Research Questions</w:t>
      </w:r>
    </w:p>
    <w:p>
      <w:pPr>
        <w:pStyle w:val="ListParagraph"/>
        <w:numPr>
          <w:ilvl w:val="0"/>
          <w:numId w:val="2"/>
        </w:numPr>
        <w:spacing w:before="40" w:after="40"/>
      </w:pPr>
      <w:r>
        <w:rPr>
          <w:rFonts w:ascii="Arial" w:cs="Arial" w:eastAsia="Arial" w:hAnsi="Arial"/>
          <w:sz w:val="22"/>
          <w:szCs w:val="22"/>
        </w:rPr>
        <w:t xml:space="preserve">Do students experience a real performance dip in middle semesters, or is it a myth?</w:t>
      </w:r>
    </w:p>
    <w:p>
      <w:pPr>
        <w:pStyle w:val="ListParagraph"/>
        <w:numPr>
          <w:ilvl w:val="0"/>
          <w:numId w:val="2"/>
        </w:numPr>
        <w:spacing w:before="40" w:after="40"/>
      </w:pPr>
      <w:r>
        <w:rPr>
          <w:rFonts w:ascii="Arial" w:cs="Arial" w:eastAsia="Arial" w:hAnsi="Arial"/>
          <w:sz w:val="22"/>
          <w:szCs w:val="22"/>
        </w:rPr>
        <w:t xml:space="preserve">Did the introduction of a structured Question Bank (QB) in 2022 improve student performance?</w:t>
      </w:r>
    </w:p>
    <w:p>
      <w:pPr>
        <w:pStyle w:val="ListParagraph"/>
        <w:numPr>
          <w:ilvl w:val="0"/>
          <w:numId w:val="2"/>
        </w:numPr>
        <w:spacing w:before="40" w:after="40"/>
      </w:pPr>
      <w:r>
        <w:rPr>
          <w:rFonts w:ascii="Arial" w:cs="Arial" w:eastAsia="Arial" w:hAnsi="Arial"/>
          <w:sz w:val="22"/>
          <w:szCs w:val="22"/>
        </w:rPr>
        <w:t xml:space="preserve">Can unsupervised clustering rediscover the 4 performance categories without using the labels?</w:t>
      </w:r>
    </w:p>
    <w:p>
      <w:pPr>
        <w:pStyle w:val="ListParagraph"/>
        <w:numPr>
          <w:ilvl w:val="0"/>
          <w:numId w:val="2"/>
        </w:numPr>
        <w:spacing w:before="40" w:after="40"/>
      </w:pPr>
      <w:r>
        <w:rPr>
          <w:rFonts w:ascii="Arial" w:cs="Arial" w:eastAsia="Arial" w:hAnsi="Arial"/>
          <w:sz w:val="22"/>
          <w:szCs w:val="22"/>
        </w:rPr>
        <w:t xml:space="preserve">Can early semester data (Sem 1–3) reliably predict a student’s final academic outcome?</w:t>
      </w:r>
    </w:p>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2. Dip Phase Analysis</w:t>
      </w:r>
    </w:p>
    <w:p>
      <w:pPr>
        <w:spacing w:before="60" w:after="60" w:line="320"/>
      </w:pPr>
      <w:r>
        <w:rPr>
          <w:rFonts w:ascii="Arial" w:cs="Arial" w:eastAsia="Arial" w:hAnsi="Arial"/>
          <w:sz w:val="22"/>
          <w:szCs w:val="22"/>
        </w:rPr>
        <w:t xml:space="preserve">A common belief in academic settings is that students struggle most in their second and third year (Semesters 3–5). Rather than assuming this is true and labeling the data accordingly, this analysis let the data speak first — the dip location was discovered from the numbers, not pre-assigned.</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2.1  Population-Level SGPA Trend</w:t>
      </w:r>
    </w:p>
    <w:p>
      <w:pPr>
        <w:spacing w:before="60" w:after="60" w:line="320"/>
      </w:pPr>
      <w:r>
        <w:rPr>
          <w:rFonts w:ascii="Arial" w:cs="Arial" w:eastAsia="Arial" w:hAnsi="Arial"/>
          <w:sz w:val="22"/>
          <w:szCs w:val="22"/>
        </w:rPr>
        <w:t xml:space="preserve">The average SGPA across all 224 students per semester is as follows: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Semester 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6.81</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Starting baseline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Semester 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6.86</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Slight improvement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Semester 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6.95</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Peak — highest population average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Semester 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6.76</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 First visible drop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Semester 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6.70</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 Lowest point across all semesters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Semester 6</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7.10</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 Recovery begins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Semester 7</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7.23</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 Continued improvement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Semester 8</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7.30</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 Strongest performance</w:t>
            </w:r>
          </w:p>
        </w:tc>
      </w:tr>
    </w:tbl>
    <w:p>
      <w:pPr>
        <w:spacing w:before="80" w:after="80"/>
      </w:pPr>
      <w:r>
        <w:t xml:space="preserve"/>
      </w:r>
    </w:p>
    <w:p>
      <w:pPr>
        <w:pBdr>
          <w:top w:val="none"/>
          <w:bottom w:val="none"/>
          <w:left w:val="single" w:color="2E75B6" w:sz="18"/>
          <w:right w:val="none"/>
        </w:pBdr>
        <w:spacing w:before="100" w:after="100" w:line="320"/>
        <w:ind w:left="720"/>
      </w:pPr>
      <w:r>
        <w:rPr>
          <w:rFonts w:ascii="Arial" w:cs="Arial" w:eastAsia="Arial" w:hAnsi="Arial"/>
          <w:i/>
          <w:iCs/>
          <w:color w:val="444444"/>
          <w:sz w:val="22"/>
          <w:szCs w:val="22"/>
        </w:rPr>
        <w:t xml:space="preserve">The population-level trend confirms a real dip: average SGPA drops from 6.95 at Semester 3 to 6.70 at Semester 5 — a decline of 0.25 SGPA points — before recovering strongly through Semesters 6–8.</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2.2  Two Methods of Individual Dip Detection</w:t>
      </w:r>
    </w:p>
    <w:p>
      <w:pPr>
        <w:spacing w:before="60" w:after="60" w:line="320"/>
      </w:pPr>
      <w:r>
        <w:rPr>
          <w:rFonts w:ascii="Arial" w:cs="Arial" w:eastAsia="Arial" w:hAnsi="Arial"/>
          <w:sz w:val="22"/>
          <w:szCs w:val="22"/>
        </w:rPr>
        <w:t xml:space="preserve">To identify dips at the student level, two separate methods were implemented and compared:</w:t>
      </w:r>
    </w:p>
    <w:p>
      <w:pPr>
        <w:spacing w:before="80" w:after="80"/>
      </w:pPr>
      <w:r>
        <w:t xml:space="preserve"/>
      </w:r>
    </w:p>
    <w:p>
      <w:pPr>
        <w:spacing w:before="200" w:after="60"/>
      </w:pPr>
      <w:r>
        <w:rPr>
          <w:rFonts w:ascii="Arial" w:cs="Arial" w:eastAsia="Arial" w:hAnsi="Arial"/>
          <w:b/>
          <w:bCs/>
          <w:color w:val="2E75B6"/>
          <w:sz w:val="22"/>
          <w:szCs w:val="22"/>
        </w:rPr>
        <w:t xml:space="preserve">Method 1 — Full History (Retrospective)</w:t>
      </w:r>
    </w:p>
    <w:p>
      <w:pPr>
        <w:spacing w:before="60" w:after="60" w:line="320"/>
      </w:pPr>
      <w:r>
        <w:rPr>
          <w:rFonts w:ascii="Arial" w:cs="Arial" w:eastAsia="Arial" w:hAnsi="Arial"/>
          <w:sz w:val="22"/>
          <w:szCs w:val="22"/>
        </w:rPr>
        <w:t xml:space="preserve">Each student’s personal average and standard deviation are calculated using all 8 semesters. A semester is flagged as a dip if its SGPA falls more than 1 standard deviation below this lifetime average.</w:t>
      </w:r>
    </w:p>
    <w:p>
      <w:pPr>
        <w:pStyle w:val="ListParagraph"/>
        <w:numPr>
          <w:ilvl w:val="0"/>
          <w:numId w:val="2"/>
        </w:numPr>
        <w:spacing w:before="40" w:after="40"/>
      </w:pPr>
      <w:r>
        <w:rPr>
          <w:rFonts w:ascii="Arial" w:cs="Arial" w:eastAsia="Arial" w:hAnsi="Arial"/>
          <w:sz w:val="22"/>
          <w:szCs w:val="22"/>
        </w:rPr>
        <w:t xml:space="preserve">Strength: uses all available information</w:t>
      </w:r>
    </w:p>
    <w:p>
      <w:pPr>
        <w:pStyle w:val="ListParagraph"/>
        <w:numPr>
          <w:ilvl w:val="0"/>
          <w:numId w:val="2"/>
        </w:numPr>
        <w:spacing w:before="40" w:after="40"/>
      </w:pPr>
      <w:r>
        <w:rPr>
          <w:rFonts w:ascii="Arial" w:cs="Arial" w:eastAsia="Arial" w:hAnsi="Arial"/>
          <w:sz w:val="22"/>
          <w:szCs w:val="22"/>
        </w:rPr>
        <w:t xml:space="preserve">Limitation: uses future data to judge past semesters (data leakage) — a Sem 1 dip can only be detected because we already know Sem 8 was great</w:t>
      </w:r>
    </w:p>
    <w:p>
      <w:pPr>
        <w:pStyle w:val="ListParagraph"/>
        <w:numPr>
          <w:ilvl w:val="0"/>
          <w:numId w:val="2"/>
        </w:numPr>
        <w:spacing w:before="40" w:after="40"/>
      </w:pPr>
      <w:r>
        <w:rPr>
          <w:rFonts w:ascii="Arial" w:cs="Arial" w:eastAsia="Arial" w:hAnsi="Arial"/>
          <w:sz w:val="22"/>
          <w:szCs w:val="22"/>
        </w:rPr>
        <w:t xml:space="preserve">Total dips detected: 289 across all students and semesters</w:t>
      </w:r>
    </w:p>
    <w:p>
      <w:pPr>
        <w:spacing w:before="80" w:after="80"/>
      </w:pPr>
      <w:r>
        <w:t xml:space="preserve"/>
      </w:r>
    </w:p>
    <w:p>
      <w:pPr>
        <w:spacing w:before="200" w:after="60"/>
      </w:pPr>
      <w:r>
        <w:rPr>
          <w:rFonts w:ascii="Arial" w:cs="Arial" w:eastAsia="Arial" w:hAnsi="Arial"/>
          <w:b/>
          <w:bCs/>
          <w:color w:val="2E75B6"/>
          <w:sz w:val="22"/>
          <w:szCs w:val="22"/>
        </w:rPr>
        <w:t xml:space="preserve">Method 2 — Rolling History (Real-Time)</w:t>
      </w:r>
    </w:p>
    <w:p>
      <w:pPr>
        <w:spacing w:before="60" w:after="60" w:line="320"/>
      </w:pPr>
      <w:r>
        <w:rPr>
          <w:rFonts w:ascii="Arial" w:cs="Arial" w:eastAsia="Arial" w:hAnsi="Arial"/>
          <w:sz w:val="22"/>
          <w:szCs w:val="22"/>
        </w:rPr>
        <w:t xml:space="preserve">At each semester, only the preceding semesters are used to compute the running average and standard deviation. A dip is flagged only when the current result is below the student’s past-only baseline. This simulates what a teacher or advisor could observe in real time.</w:t>
      </w:r>
    </w:p>
    <w:p>
      <w:pPr>
        <w:pStyle w:val="ListParagraph"/>
        <w:numPr>
          <w:ilvl w:val="0"/>
          <w:numId w:val="2"/>
        </w:numPr>
        <w:spacing w:before="40" w:after="40"/>
      </w:pPr>
      <w:r>
        <w:rPr>
          <w:rFonts w:ascii="Arial" w:cs="Arial" w:eastAsia="Arial" w:hAnsi="Arial"/>
          <w:sz w:val="22"/>
          <w:szCs w:val="22"/>
        </w:rPr>
        <w:t xml:space="preserve">Strength: no future data is used — realistic and deployable as an early warning system</w:t>
      </w:r>
    </w:p>
    <w:p>
      <w:pPr>
        <w:pStyle w:val="ListParagraph"/>
        <w:numPr>
          <w:ilvl w:val="0"/>
          <w:numId w:val="2"/>
        </w:numPr>
        <w:spacing w:before="40" w:after="40"/>
      </w:pPr>
      <w:r>
        <w:rPr>
          <w:rFonts w:ascii="Arial" w:cs="Arial" w:eastAsia="Arial" w:hAnsi="Arial"/>
          <w:sz w:val="22"/>
          <w:szCs w:val="22"/>
        </w:rPr>
        <w:t xml:space="preserve">Limitation: Semester 1 can never be a dip (no prior history exists); standard deviation requires at least 2 data points</w:t>
      </w:r>
    </w:p>
    <w:p>
      <w:pPr>
        <w:pStyle w:val="ListParagraph"/>
        <w:numPr>
          <w:ilvl w:val="0"/>
          <w:numId w:val="2"/>
        </w:numPr>
        <w:spacing w:before="40" w:after="40"/>
      </w:pPr>
      <w:r>
        <w:rPr>
          <w:rFonts w:ascii="Arial" w:cs="Arial" w:eastAsia="Arial" w:hAnsi="Arial"/>
          <w:sz w:val="22"/>
          <w:szCs w:val="22"/>
        </w:rPr>
        <w:t xml:space="preserve">Total dips detected: 197 — fewer than Method 1, as expected</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2.3  Dip Distribution by Semester</w:t>
      </w:r>
    </w:p>
    <w:p>
      <w:pPr>
        <w:spacing w:before="60" w:after="60" w:line="320"/>
      </w:pPr>
      <w:r>
        <w:rPr>
          <w:rFonts w:ascii="Arial" w:cs="Arial" w:eastAsia="Arial" w:hAnsi="Arial"/>
          <w:sz w:val="22"/>
          <w:szCs w:val="22"/>
        </w:rPr>
        <w:t xml:space="preserve">Percentage of students flagged as having a dip in each semester: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Semester</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S1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S2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S3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S4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S5</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Full method %</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23.7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18.3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19.6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31.7</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Rolling method %</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12.1</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24.1</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27.7</w:t>
            </w:r>
          </w:p>
        </w:tc>
      </w:tr>
    </w:tbl>
    <w:p>
      <w:pPr>
        <w:spacing w:before="80" w:after="80"/>
      </w:pPr>
      <w:r>
        <w:t xml:space="preserve"/>
      </w:r>
    </w:p>
    <w:p>
      <w:pPr>
        <w:pBdr>
          <w:top w:val="none"/>
          <w:bottom w:val="none"/>
          <w:left w:val="single" w:color="2E75B6" w:sz="18"/>
          <w:right w:val="none"/>
        </w:pBdr>
        <w:spacing w:before="100" w:after="100" w:line="320"/>
        <w:ind w:left="720"/>
      </w:pPr>
      <w:r>
        <w:rPr>
          <w:rFonts w:ascii="Arial" w:cs="Arial" w:eastAsia="Arial" w:hAnsi="Arial"/>
          <w:i/>
          <w:iCs/>
          <w:color w:val="444444"/>
          <w:sz w:val="22"/>
          <w:szCs w:val="22"/>
        </w:rPr>
        <w:t xml:space="preserve">The rolling method — the more honest measure — confirms the dip myth is real: Semester 4 (24.1%) and Semester 5 (27.7%) have the highest concentration of individual student dips. The hypothesis is validated by the data, not assumed.</w:t>
      </w:r>
    </w:p>
    <w:p>
      <w:pPr>
        <w:spacing w:before="80" w:after="80"/>
      </w:pPr>
      <w:r>
        <w:t xml:space="preserve"/>
      </w:r>
    </w:p>
    <w:p>
      <w:pPr>
        <w:spacing w:before="60" w:after="60" w:line="320"/>
      </w:pPr>
      <w:r>
        <w:rPr>
          <w:rFonts w:ascii="Arial" w:cs="Arial" w:eastAsia="Arial" w:hAnsi="Arial"/>
          <w:sz w:val="22"/>
          <w:szCs w:val="22"/>
        </w:rPr>
        <w:t xml:space="preserve">The Full method shows 23.7% dips at Semester 1, which the Rolling method correctly shows as 0.0%. This difference is a direct demonstration of data leakage: Semester 1 only appears to be a dip in hindsight when we know the student later improved significantly.</w:t>
      </w:r>
    </w:p>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3. Question Bank (QB) Era Impact Analysis</w:t>
      </w:r>
    </w:p>
    <w:p>
      <w:pPr>
        <w:spacing w:before="60" w:after="60" w:line="320"/>
      </w:pPr>
      <w:r>
        <w:rPr>
          <w:rFonts w:ascii="Arial" w:cs="Arial" w:eastAsia="Arial" w:hAnsi="Arial"/>
          <w:sz w:val="22"/>
          <w:szCs w:val="22"/>
        </w:rPr>
        <w:t xml:space="preserve">A Question Bank was introduced for all batches from 2022 onwards. Three separate methods were used to evaluate whether this structural change had a measurable impact on student performance, each with different assumptions and strengths.</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3.1  Method A — Batch-Based Comparison</w:t>
      </w:r>
    </w:p>
    <w:p>
      <w:pPr>
        <w:spacing w:before="60" w:after="60" w:line="320"/>
      </w:pPr>
      <w:r>
        <w:rPr>
          <w:rFonts w:ascii="Arial" w:cs="Arial" w:eastAsia="Arial" w:hAnsi="Arial"/>
          <w:sz w:val="22"/>
          <w:szCs w:val="22"/>
        </w:rPr>
        <w:t xml:space="preserve">Students are grouped by their admission batch year into Pre-QB (2018–2021) and Post-QB (2022–2025) cohorts.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Avg SGPA — Pre-QB</w:t>
            </w:r>
          </w:p>
        </w:tc>
        <w:tc>
          <w:tcPr>
            <w:tcW w:type="dxa" w:w="2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1E6B1E"/>
                <w:sz w:val="20"/>
                <w:szCs w:val="20"/>
              </w:rPr>
              <w:t xml:space="preserve">6.68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 performance before Question Bank introduction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Avg SGPA — Post-QB</w:t>
            </w:r>
          </w:p>
        </w:tc>
        <w:tc>
          <w:tcPr>
            <w:tcW w:type="dxa" w:w="2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1E6B1E"/>
                <w:sz w:val="20"/>
                <w:szCs w:val="20"/>
              </w:rPr>
              <w:t xml:space="preserve">7.26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+0.58 points higher than Pre-QB era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Score variance (STD)</w:t>
            </w:r>
          </w:p>
        </w:tc>
        <w:tc>
          <w:tcPr>
            <w:tcW w:type="dxa" w:w="2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1E6B1E"/>
                <w:sz w:val="20"/>
                <w:szCs w:val="20"/>
              </w:rPr>
              <w:t xml:space="preserve">1.22 → 1.17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Slight reduction in spread — more consistent outcomes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Consistent Toppers</w:t>
            </w:r>
          </w:p>
        </w:tc>
        <w:tc>
          <w:tcPr>
            <w:tcW w:type="dxa" w:w="2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1E6B1E"/>
                <w:sz w:val="20"/>
                <w:szCs w:val="20"/>
              </w:rPr>
              <w:t xml:space="preserve">7.9% → 22.7%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Nearly 3× more top performers in Post-QB era</w:t>
            </w:r>
          </w:p>
        </w:tc>
      </w:tr>
    </w:tbl>
    <w:p>
      <w:pPr>
        <w:spacing w:before="80" w:after="80"/>
      </w:pPr>
      <w:r>
        <w:t xml:space="preserve"/>
      </w:r>
    </w:p>
    <w:p>
      <w:pPr>
        <w:pStyle w:val="Heading2"/>
        <w:spacing w:before="280" w:after="80"/>
      </w:pPr>
      <w:r>
        <w:rPr>
          <w:rFonts w:ascii="Arial" w:cs="Arial" w:eastAsia="Arial" w:hAnsi="Arial"/>
          <w:b/>
          <w:bCs/>
          <w:color w:val="2E75B6"/>
          <w:sz w:val="26"/>
          <w:szCs w:val="26"/>
        </w:rPr>
        <w:t xml:space="preserve">3.2  Method B — Year-Based Comparison</w:t>
      </w:r>
    </w:p>
    <w:p>
      <w:pPr>
        <w:spacing w:before="60" w:after="60" w:line="320"/>
      </w:pPr>
      <w:r>
        <w:rPr>
          <w:rFonts w:ascii="Arial" w:cs="Arial" w:eastAsia="Arial" w:hAnsi="Arial"/>
          <w:sz w:val="22"/>
          <w:szCs w:val="22"/>
        </w:rPr>
        <w:t xml:space="preserve">Rather than grouping by batch admission year, this method classifies each individual semester record by the year it was studied in. This allows a batch admitted pre-2022 to have some of their later semesters counted in the Post-QB era.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Avg SGPA — Pre-QB years</w:t>
            </w:r>
          </w:p>
        </w:tc>
        <w:tc>
          <w:tcPr>
            <w:tcW w:type="dxa" w:w="2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1E6B1E"/>
                <w:sz w:val="20"/>
                <w:szCs w:val="20"/>
              </w:rPr>
              <w:t xml:space="preserve">6.47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Academic years before 2022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Avg SGPA — Post-QB years</w:t>
            </w:r>
          </w:p>
        </w:tc>
        <w:tc>
          <w:tcPr>
            <w:tcW w:type="dxa" w:w="2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1E6B1E"/>
                <w:sz w:val="20"/>
                <w:szCs w:val="20"/>
              </w:rPr>
              <w:t xml:space="preserve">7.19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+0.72 points — stronger signal than batch method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Consistent Toppers</w:t>
            </w:r>
          </w:p>
        </w:tc>
        <w:tc>
          <w:tcPr>
            <w:tcW w:type="dxa" w:w="2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1E6B1E"/>
                <w:sz w:val="20"/>
                <w:szCs w:val="20"/>
              </w:rPr>
              <w:t xml:space="preserve">8.6% → 18.2%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More than double the topper rate in Post-QB years</w:t>
            </w:r>
          </w:p>
        </w:tc>
      </w:tr>
    </w:tbl>
    <w:p>
      <w:pPr>
        <w:spacing w:before="80" w:after="80"/>
      </w:pPr>
      <w:r>
        <w:t xml:space="preserve"/>
      </w:r>
    </w:p>
    <w:p>
      <w:pPr>
        <w:pStyle w:val="Heading2"/>
        <w:spacing w:before="280" w:after="80"/>
      </w:pPr>
      <w:r>
        <w:rPr>
          <w:rFonts w:ascii="Arial" w:cs="Arial" w:eastAsia="Arial" w:hAnsi="Arial"/>
          <w:b/>
          <w:bCs/>
          <w:color w:val="2E75B6"/>
          <w:sz w:val="26"/>
          <w:szCs w:val="26"/>
        </w:rPr>
        <w:t xml:space="preserve">3.3  Method C — Within-Student Analysis (Strongest Evidence)</w:t>
      </w:r>
    </w:p>
    <w:p>
      <w:pPr>
        <w:spacing w:before="60" w:after="60" w:line="320"/>
      </w:pPr>
      <w:r>
        <w:rPr>
          <w:rFonts w:ascii="Arial" w:cs="Arial" w:eastAsia="Arial" w:hAnsi="Arial"/>
          <w:sz w:val="22"/>
          <w:szCs w:val="22"/>
        </w:rPr>
        <w:t xml:space="preserve">Only students who studied across both eras are included — those whose 8-semester journey spans the 2022 boundary. Each student acts as their own control, directly comparing their Pre-QB and Post-QB semester averages. This removes cohort-level differences and individual ability as confounding factors.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Students in both eras</w:t>
            </w:r>
          </w:p>
        </w:tc>
        <w:tc>
          <w:tcPr>
            <w:tcW w:type="dxa" w:w="2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1E6B1E"/>
                <w:sz w:val="20"/>
                <w:szCs w:val="20"/>
              </w:rPr>
              <w:t xml:space="preserve">89 students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those with semesters both before and after 2022</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Average improvement</w:t>
            </w:r>
          </w:p>
        </w:tc>
        <w:tc>
          <w:tcPr>
            <w:tcW w:type="dxa" w:w="2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1E6B1E"/>
                <w:sz w:val="20"/>
                <w:szCs w:val="20"/>
              </w:rPr>
              <w:t xml:space="preserve">+0.55 SGPA</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student, comparing their own pre vs post QB performance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Students who improved</w:t>
            </w:r>
          </w:p>
        </w:tc>
        <w:tc>
          <w:tcPr>
            <w:tcW w:type="dxa" w:w="2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1E6B1E"/>
                <w:sz w:val="20"/>
                <w:szCs w:val="20"/>
              </w:rPr>
              <w:t xml:space="preserve">78.7%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Nearly 4 in 5 students performed better after QB introduction</w:t>
            </w:r>
          </w:p>
        </w:tc>
      </w:tr>
    </w:tbl>
    <w:p>
      <w:pPr>
        <w:spacing w:before="80" w:after="80"/>
      </w:pPr>
      <w:r>
        <w:t xml:space="preserve"/>
      </w:r>
    </w:p>
    <w:p>
      <w:pPr>
        <w:pBdr>
          <w:top w:val="none"/>
          <w:bottom w:val="none"/>
          <w:left w:val="single" w:color="2E75B6" w:sz="18"/>
          <w:right w:val="none"/>
        </w:pBdr>
        <w:spacing w:before="100" w:after="100" w:line="320"/>
        <w:ind w:left="720"/>
      </w:pPr>
      <w:r>
        <w:rPr>
          <w:rFonts w:ascii="Arial" w:cs="Arial" w:eastAsia="Arial" w:hAnsi="Arial"/>
          <w:i/>
          <w:iCs/>
          <w:color w:val="444444"/>
          <w:sz w:val="22"/>
          <w:szCs w:val="22"/>
        </w:rPr>
        <w:t xml:space="preserve">The within-student analysis provides the most reliable evidence. Since each student is compared against their own past, individual ability differences are eliminated. 78.7% of students improved — an average gain of 0.55 SGPA points — strongly suggesting the Question Bank had a positive structural impact.</w:t>
      </w:r>
    </w:p>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4. Student Segmentation via K-Means Clustering</w:t>
      </w:r>
    </w:p>
    <w:p>
      <w:pPr>
        <w:spacing w:before="60" w:after="60" w:line="320"/>
      </w:pPr>
      <w:r>
        <w:rPr>
          <w:rFonts w:ascii="Arial" w:cs="Arial" w:eastAsia="Arial" w:hAnsi="Arial"/>
          <w:sz w:val="22"/>
          <w:szCs w:val="22"/>
        </w:rPr>
        <w:t xml:space="preserve">A central question in this project is whether the 4 performance categories (Consistent Topper, Average, Low Performer, Late Bloomer) are meaningful and data-driven, or whether they are arbitrary labels. K-Means clustering was used to answer this without using the labels themselves.</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4.1  Approach</w:t>
      </w:r>
    </w:p>
    <w:p>
      <w:pPr>
        <w:pStyle w:val="ListParagraph"/>
        <w:numPr>
          <w:ilvl w:val="0"/>
          <w:numId w:val="2"/>
        </w:numPr>
        <w:spacing w:before="40" w:after="40"/>
      </w:pPr>
      <w:r>
        <w:rPr>
          <w:rFonts w:ascii="Arial" w:cs="Arial" w:eastAsia="Arial" w:hAnsi="Arial"/>
          <w:sz w:val="22"/>
          <w:szCs w:val="22"/>
        </w:rPr>
        <w:t xml:space="preserve">The dataset was pivoted to wide format: 1 row per student, 8 SGPA columns (S1–S8) representing their full trajectory</w:t>
      </w:r>
    </w:p>
    <w:p>
      <w:pPr>
        <w:pStyle w:val="ListParagraph"/>
        <w:numPr>
          <w:ilvl w:val="0"/>
          <w:numId w:val="2"/>
        </w:numPr>
        <w:spacing w:before="40" w:after="40"/>
      </w:pPr>
      <w:r>
        <w:rPr>
          <w:rFonts w:ascii="Arial" w:cs="Arial" w:eastAsia="Arial" w:hAnsi="Arial"/>
          <w:sz w:val="22"/>
          <w:szCs w:val="22"/>
        </w:rPr>
        <w:t xml:space="preserve">Features were standardized using StandardScaler before clustering</w:t>
      </w:r>
    </w:p>
    <w:p>
      <w:pPr>
        <w:pStyle w:val="ListParagraph"/>
        <w:numPr>
          <w:ilvl w:val="0"/>
          <w:numId w:val="2"/>
        </w:numPr>
        <w:spacing w:before="40" w:after="40"/>
      </w:pPr>
      <w:r>
        <w:rPr>
          <w:rFonts w:ascii="Arial" w:cs="Arial" w:eastAsia="Arial" w:hAnsi="Arial"/>
          <w:sz w:val="22"/>
          <w:szCs w:val="22"/>
        </w:rPr>
        <w:t xml:space="preserve">K-Means was run with k=4 (matching the number of known performance types)</w:t>
      </w:r>
    </w:p>
    <w:p>
      <w:pPr>
        <w:pStyle w:val="ListParagraph"/>
        <w:numPr>
          <w:ilvl w:val="0"/>
          <w:numId w:val="2"/>
        </w:numPr>
        <w:spacing w:before="40" w:after="40"/>
      </w:pPr>
      <w:r>
        <w:rPr>
          <w:rFonts w:ascii="Arial" w:cs="Arial" w:eastAsia="Arial" w:hAnsi="Arial"/>
          <w:sz w:val="22"/>
          <w:szCs w:val="22"/>
        </w:rPr>
        <w:t xml:space="preserve">Results were compared against actual Performance_Type labels using a cross-tabulation</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4.2  Cluster vs Label Mapping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Performance Type</w:t>
            </w:r>
          </w:p>
        </w:tc>
        <w:tc>
          <w:tcPr>
            <w:tcW w:type="dxa" w:w="1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Cluster 0</w:t>
            </w:r>
          </w:p>
        </w:tc>
        <w:tc>
          <w:tcPr>
            <w:tcW w:type="dxa" w:w="1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Cluster 1</w:t>
            </w:r>
          </w:p>
        </w:tc>
        <w:tc>
          <w:tcPr>
            <w:tcW w:type="dxa" w:w="1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Cluster 2</w:t>
            </w:r>
          </w:p>
        </w:tc>
        <w:tc>
          <w:tcPr>
            <w:tcW w:type="dxa" w:w="1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Cluster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Average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16</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105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Consistent Topper</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164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pPr>
              <w:jc w:val="center"/>
            </w:pPr>
            <w:r>
              <w:rPr>
                <w:rFonts w:ascii="Arial" w:cs="Arial" w:eastAsia="Arial" w:hAnsi="Arial"/>
                <w:b/>
                <w:bCs/>
                <w:sz w:val="20"/>
                <w:szCs w:val="20"/>
              </w:rPr>
              <w:t xml:space="preserve">34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Late Bloomer</w:t>
            </w:r>
          </w:p>
        </w:tc>
        <w:tc>
          <w:tcPr>
            <w:tcW w:type="dxa" w:w="164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pPr>
              <w:jc w:val="center"/>
            </w:pPr>
            <w:r>
              <w:rPr>
                <w:rFonts w:ascii="Arial" w:cs="Arial" w:eastAsia="Arial" w:hAnsi="Arial"/>
                <w:b/>
                <w:bCs/>
                <w:sz w:val="20"/>
                <w:szCs w:val="20"/>
              </w:rPr>
              <w:t xml:space="preserve">28</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Low Performer</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164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pPr>
              <w:jc w:val="center"/>
            </w:pPr>
            <w:r>
              <w:rPr>
                <w:rFonts w:ascii="Arial" w:cs="Arial" w:eastAsia="Arial" w:hAnsi="Arial"/>
                <w:b/>
                <w:bCs/>
                <w:sz w:val="20"/>
                <w:szCs w:val="20"/>
              </w:rPr>
              <w:t xml:space="preserve">39</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bl>
    <w:p>
      <w:pPr>
        <w:spacing w:before="80" w:after="80"/>
      </w:pPr>
      <w:r>
        <w:t xml:space="preserve"/>
      </w:r>
    </w:p>
    <w:p>
      <w:pPr>
        <w:pBdr>
          <w:top w:val="none"/>
          <w:bottom w:val="none"/>
          <w:left w:val="single" w:color="2E75B6" w:sz="18"/>
          <w:right w:val="none"/>
        </w:pBdr>
        <w:spacing w:before="100" w:after="100" w:line="320"/>
        <w:ind w:left="720"/>
      </w:pPr>
      <w:r>
        <w:rPr>
          <w:rFonts w:ascii="Arial" w:cs="Arial" w:eastAsia="Arial" w:hAnsi="Arial"/>
          <w:i/>
          <w:iCs/>
          <w:color w:val="444444"/>
          <w:sz w:val="22"/>
          <w:szCs w:val="22"/>
        </w:rPr>
        <w:t xml:space="preserve">K-Means clustering, with no access to the Performance_Type labels, independently grouped students into 4 clusters that align almost perfectly with the known categories: Consistent Toppers (34/34 — perfect), Low Performers (39/40), Average (105/122). This validates that the 4 performance types reflect genuine, distinct behavioral patterns in the data.</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4.3  The Interesting Exception — Cluster 0</w:t>
      </w:r>
    </w:p>
    <w:p>
      <w:pPr>
        <w:spacing w:before="60" w:after="60" w:line="320"/>
      </w:pPr>
      <w:r>
        <w:rPr>
          <w:rFonts w:ascii="Arial" w:cs="Arial" w:eastAsia="Arial" w:hAnsi="Arial"/>
          <w:sz w:val="22"/>
          <w:szCs w:val="22"/>
        </w:rPr>
        <w:t xml:space="preserve">Cluster 0 contains 28 Late Bloomers and 16 students officially labeled Average. This is the only cluster with meaningful cross-label mixing. Analysis of their trajectories revealed: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Mixed Average students (in Cluster 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Start SGPA ~6.3</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Rise steadily to 7.4–7.5 by Sem 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Actual Late Bloomers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Start SGPA ~5.7</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Rise steadily to 7.8–8.0 by Sem 8</w:t>
            </w:r>
          </w:p>
        </w:tc>
      </w:tr>
    </w:tbl>
    <w:p>
      <w:pPr>
        <w:spacing w:before="80" w:after="80"/>
      </w:pPr>
      <w:r>
        <w:t xml:space="preserve"/>
      </w:r>
    </w:p>
    <w:p>
      <w:pPr>
        <w:pBdr>
          <w:top w:val="none"/>
          <w:bottom w:val="none"/>
          <w:left w:val="single" w:color="2E75B6" w:sz="18"/>
          <w:right w:val="none"/>
        </w:pBdr>
        <w:spacing w:before="100" w:after="100" w:line="320"/>
        <w:ind w:left="720"/>
      </w:pPr>
      <w:r>
        <w:rPr>
          <w:rFonts w:ascii="Arial" w:cs="Arial" w:eastAsia="Arial" w:hAnsi="Arial"/>
          <w:i/>
          <w:iCs/>
          <w:color w:val="444444"/>
          <w:sz w:val="22"/>
          <w:szCs w:val="22"/>
        </w:rPr>
        <w:t xml:space="preserve">Both groups share an identical trajectory shape — consistent upward growth across all 8 semesters. The only difference is the absolute starting point. The algorithm correctly identified them as behaviorally similar. This suggests the boundary between ‘Average’ and ‘Late Bloomer’ in the original labels is based on score level, not on academic behavior — and that trajectory-based segmentation may be more meaningful for early intervention.</w:t>
      </w:r>
    </w:p>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5. Key Findings &amp; Conclusions</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Finding 1 — The dip myth is confirmed real</w:t>
      </w:r>
    </w:p>
    <w:p>
      <w:pPr>
        <w:spacing w:before="60" w:after="60" w:line="320"/>
      </w:pPr>
      <w:r>
        <w:rPr>
          <w:rFonts w:ascii="Arial" w:cs="Arial" w:eastAsia="Arial" w:hAnsi="Arial"/>
          <w:sz w:val="22"/>
          <w:szCs w:val="22"/>
        </w:rPr>
        <w:t xml:space="preserve">Using a rolling, past-only detection method, 24.1% of students dip at Semester 4 and 27.7% dip at Semester 5 — the highest rates across all 8 semesters. This was discovered from the data, not assumed. The typical recovery from Semester 6 onwards is also consistent and strong.</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Finding 2 — The Question Bank had a measurable positive impact</w:t>
      </w:r>
    </w:p>
    <w:p>
      <w:pPr>
        <w:spacing w:before="60" w:after="60" w:line="320"/>
      </w:pPr>
      <w:r>
        <w:rPr>
          <w:rFonts w:ascii="Arial" w:cs="Arial" w:eastAsia="Arial" w:hAnsi="Arial"/>
          <w:sz w:val="22"/>
          <w:szCs w:val="22"/>
        </w:rPr>
        <w:t xml:space="preserve">All three analysis methods (batch-based, year-based, within-student) independently show improvement in the Post-QB era. The within-student analysis — the most statistically rigorous — shows 78.7% of students improved by an average of 0.55 SGPA points after QB introduction. The topper rate nearly tripled.</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Finding 3 — Performance categories reflect real behavioral patterns</w:t>
      </w:r>
    </w:p>
    <w:p>
      <w:pPr>
        <w:spacing w:before="60" w:after="60" w:line="320"/>
      </w:pPr>
      <w:r>
        <w:rPr>
          <w:rFonts w:ascii="Arial" w:cs="Arial" w:eastAsia="Arial" w:hAnsi="Arial"/>
          <w:sz w:val="22"/>
          <w:szCs w:val="22"/>
        </w:rPr>
        <w:t xml:space="preserve">K-Means clustering, with no label information, reproduced the 4 performance groups with high accuracy. Consistent Toppers were perfectly separated (34/34). This confirms that the performance taxonomy is grounded in actual trajectory differences, not arbitrary thresholds.</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Finding 4 — Late Bloomers and some Average students are behaviorally identical</w:t>
      </w:r>
    </w:p>
    <w:p>
      <w:pPr>
        <w:spacing w:before="60" w:after="60" w:line="320"/>
      </w:pPr>
      <w:r>
        <w:rPr>
          <w:rFonts w:ascii="Arial" w:cs="Arial" w:eastAsia="Arial" w:hAnsi="Arial"/>
          <w:sz w:val="22"/>
          <w:szCs w:val="22"/>
        </w:rPr>
        <w:t xml:space="preserve">16 students labeled ‘Average’ were placed in the Late Bloomer cluster by K-Means due to their consistently upward SGPA trajectory. The distinction in the original labels appears to be score-level based rather than behavior-based. For early intervention purposes, these students should be treated as Late Bloomers.</w:t>
      </w:r>
    </w:p>
    <w:p>
      <w:pPr>
        <w:spacing w:before="80" w:after="80"/>
      </w:pPr>
      <w:r>
        <w:t xml:space="preserve"/>
      </w:r>
    </w:p>
    <w:p>
      <w:pPr>
        <w:pBdr>
          <w:bottom w:val="single" w:color="CCCCCC" w:sz="4" w:space="1"/>
        </w:pBdr>
        <w:spacing w:before="160" w:after="160"/>
      </w:pPr>
      <w:r>
        <w:t xml:space="preserve"/>
      </w:r>
    </w:p>
    <w:p>
      <w:pPr>
        <w:pStyle w:val="Heading2"/>
        <w:spacing w:before="280" w:after="80"/>
      </w:pPr>
      <w:r>
        <w:rPr>
          <w:rFonts w:ascii="Arial" w:cs="Arial" w:eastAsia="Arial" w:hAnsi="Arial"/>
          <w:b/>
          <w:bCs/>
          <w:color w:val="2E75B6"/>
          <w:sz w:val="26"/>
          <w:szCs w:val="26"/>
        </w:rPr>
        <w:t xml:space="preserve">Methodological Note</w:t>
      </w:r>
    </w:p>
    <w:p>
      <w:pPr>
        <w:spacing w:before="60" w:after="60" w:line="320"/>
      </w:pPr>
      <w:r>
        <w:rPr>
          <w:rFonts w:ascii="Arial" w:cs="Arial" w:eastAsia="Arial" w:hAnsi="Arial"/>
          <w:sz w:val="22"/>
          <w:szCs w:val="22"/>
        </w:rPr>
        <w:t xml:space="preserve">Two deliberate design choices in this analysis are worth highlighting. First, the dip phase was not pre-labeled — the semester with the highest dip rate was identified empirically. This avoids confirmation bias and makes the finding genuinely data-driven. Second, both a retrospective (full history) and a prospective (rolling) dip detection method were built and compared. The difference between them illustrates the concept of data leakage in a practical, interpretable way: Semester 1 appears to have 23.7% dips in the full method but 0.0% in the rolling method — because a Semester 1 performance can only look like a dip once we know what the student eventually achieved.</w:t>
      </w:r>
    </w:p>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6. Tools &amp; Techniques Used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Language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Python 3</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Jupyter Notebook environment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 manipulation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pandas, numpy</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groupby, transform, pivot_table, expanding windows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Visualization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matplotlib, seaborn</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Line charts, heatmaps, cluster trajectory plots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Machine learning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scikit-learn</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KMeans, StandardScaler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Key techniques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transform()</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Used instead of merge to broadcast group stats back to rows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Key techniques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expanding().mean/std()</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Rolling window for realistic past-only dip detection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Key techniques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pd.crosstab()</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Cluster vs label validation matrix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Dataset type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Longitudinal</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1 student tracked across 8 time points — not independent rows</w:t>
            </w:r>
          </w:p>
        </w:tc>
      </w:tr>
    </w:tbl>
    <w:p>
      <w:pPr>
        <w:spacing w:before="80"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2026-03-23T13:57:04.231Z</dcterms:created>
  <dcterms:modified xsi:type="dcterms:W3CDTF">2026-03-23T13:57:04.232Z</dcterms:modified>
</cp:coreProperties>
</file>

<file path=docProps/custom.xml><?xml version="1.0" encoding="utf-8"?>
<Properties xmlns="http://schemas.openxmlformats.org/officeDocument/2006/custom-properties" xmlns:vt="http://schemas.openxmlformats.org/officeDocument/2006/docPropsVTypes"/>
</file>