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4"/>
        </w:rPr>
        <w:t>Code Coverage Report</w:t>
      </w:r>
    </w:p>
    <w:p>
      <w:pPr>
        <w:spacing w:before="0" w:after="240"/>
      </w:pPr>
      <w:r>
        <w:rPr>
          <w:rFonts w:ascii="Calibri" w:hAnsi="Calibri"/>
          <w:i/>
          <w:color w:val="0284C7"/>
          <w:sz w:val="24"/>
        </w:rPr>
        <w:t>Disaster Relief Resource Coordination System (Team 20) — Sprint 3 (Review 3) Delivery</w:t>
      </w:r>
    </w:p>
    <w:tbl>
      <w:tblPr>
        <w:tblW w:type="auto" w:w="0"/>
        <w:jc w:val="center"/>
        <w:tblLayout w:type="fixed"/>
        <w:tblLook w:firstColumn="1" w:firstRow="1" w:lastColumn="0" w:lastRow="0" w:noHBand="0" w:noVBand="1" w:val="04A0"/>
      </w:tblPr>
      <w:tblGrid>
        <w:gridCol w:w="4968"/>
        <w:gridCol w:w="4968"/>
      </w:tblGrid>
      <w:tr>
        <w:tc>
          <w:tcPr>
            <w:tcW w:type="dxa" w:w="2880"/>
            <w:tcMar>
              <w:top w:w="60" w:type="dxa"/>
              <w:bottom w:w="60" w:type="dxa"/>
              <w:left w:w="100" w:type="dxa"/>
              <w:right w:w="100" w:type="dxa"/>
            </w:tcMar>
            <w:shd w:fill="F1F5F9"/>
            <w:tcBorders>
              <w:top w:val="single" w:sz="4" w:space="0" w:color="E2E8F0"/>
              <w:bottom w:val="single" w:sz="4" w:space="0" w:color="E2E8F0"/>
            </w:tcBorders>
          </w:tcPr>
          <w:p>
            <w:pPr>
              <w:spacing w:after="0"/>
            </w:pPr>
            <w:r>
              <w:rPr>
                <w:rFonts w:ascii="Calibri" w:hAnsi="Calibri"/>
                <w:b/>
                <w:color w:val="1B365D"/>
                <w:sz w:val="19"/>
              </w:rPr>
              <w:t>Project Name:</w:t>
            </w:r>
          </w:p>
        </w:tc>
        <w:tc>
          <w:tcPr>
            <w:tcW w:type="dxa" w:w="6912"/>
            <w:tcMar>
              <w:top w:w="60" w:type="dxa"/>
              <w:bottom w:w="60" w:type="dxa"/>
              <w:left w:w="100" w:type="dxa"/>
              <w:right w:w="100" w:type="dxa"/>
            </w:tcMar>
            <w:shd w:fill="F8FAFC"/>
            <w:tcBorders>
              <w:top w:val="single" w:sz="4" w:space="0" w:color="E2E8F0"/>
              <w:bottom w:val="single" w:sz="4" w:space="0" w:color="E2E8F0"/>
            </w:tcBorders>
          </w:tcPr>
          <w:p>
            <w:pPr>
              <w:spacing w:after="0"/>
            </w:pPr>
            <w:r>
              <w:rPr>
                <w:rFonts w:ascii="Calibri" w:hAnsi="Calibri"/>
                <w:color w:val="1E293B"/>
                <w:sz w:val="19"/>
              </w:rPr>
              <w:t>Disaster Relief Resource Coordination System</w:t>
            </w:r>
          </w:p>
        </w:tc>
      </w:tr>
      <w:tr>
        <w:tc>
          <w:tcPr>
            <w:tcW w:type="dxa" w:w="2880"/>
            <w:tcMar>
              <w:top w:w="60" w:type="dxa"/>
              <w:bottom w:w="60" w:type="dxa"/>
              <w:left w:w="100" w:type="dxa"/>
              <w:right w:w="100" w:type="dxa"/>
            </w:tcMar>
            <w:shd w:fill="F1F5F9"/>
            <w:tcBorders>
              <w:top w:val="single" w:sz="4" w:space="0" w:color="E2E8F0"/>
              <w:bottom w:val="single" w:sz="4" w:space="0" w:color="E2E8F0"/>
            </w:tcBorders>
          </w:tcPr>
          <w:p>
            <w:pPr>
              <w:spacing w:after="0"/>
            </w:pPr>
            <w:r>
              <w:rPr>
                <w:rFonts w:ascii="Calibri" w:hAnsi="Calibri"/>
                <w:b/>
                <w:color w:val="1B365D"/>
                <w:sz w:val="19"/>
              </w:rPr>
              <w:t>Coverage Tool:</w:t>
            </w:r>
          </w:p>
        </w:tc>
        <w:tc>
          <w:tcPr>
            <w:tcW w:type="dxa" w:w="6912"/>
            <w:tcMar>
              <w:top w:w="60" w:type="dxa"/>
              <w:bottom w:w="60" w:type="dxa"/>
              <w:left w:w="100" w:type="dxa"/>
              <w:right w:w="100" w:type="dxa"/>
            </w:tcMar>
            <w:shd w:fill="F8FAFC"/>
            <w:tcBorders>
              <w:top w:val="single" w:sz="4" w:space="0" w:color="E2E8F0"/>
              <w:bottom w:val="single" w:sz="4" w:space="0" w:color="E2E8F0"/>
            </w:tcBorders>
          </w:tcPr>
          <w:p>
            <w:pPr>
              <w:spacing w:after="0"/>
            </w:pPr>
            <w:r>
              <w:rPr>
                <w:rFonts w:ascii="Calibri" w:hAnsi="Calibri"/>
                <w:color w:val="1E293B"/>
                <w:sz w:val="19"/>
              </w:rPr>
              <w:t>pytest-cov 7.1.0, coverage.py</w:t>
            </w:r>
          </w:p>
        </w:tc>
      </w:tr>
      <w:tr>
        <w:tc>
          <w:tcPr>
            <w:tcW w:type="dxa" w:w="2880"/>
            <w:tcMar>
              <w:top w:w="60" w:type="dxa"/>
              <w:bottom w:w="60" w:type="dxa"/>
              <w:left w:w="100" w:type="dxa"/>
              <w:right w:w="100" w:type="dxa"/>
            </w:tcMar>
            <w:shd w:fill="F1F5F9"/>
            <w:tcBorders>
              <w:top w:val="single" w:sz="4" w:space="0" w:color="E2E8F0"/>
              <w:bottom w:val="single" w:sz="4" w:space="0" w:color="E2E8F0"/>
            </w:tcBorders>
          </w:tcPr>
          <w:p>
            <w:pPr>
              <w:spacing w:after="0"/>
            </w:pPr>
            <w:r>
              <w:rPr>
                <w:rFonts w:ascii="Calibri" w:hAnsi="Calibri"/>
                <w:b/>
                <w:color w:val="1B365D"/>
                <w:sz w:val="19"/>
              </w:rPr>
              <w:t>Test Suite:</w:t>
            </w:r>
          </w:p>
        </w:tc>
        <w:tc>
          <w:tcPr>
            <w:tcW w:type="dxa" w:w="6912"/>
            <w:tcMar>
              <w:top w:w="60" w:type="dxa"/>
              <w:bottom w:w="60" w:type="dxa"/>
              <w:left w:w="100" w:type="dxa"/>
              <w:right w:w="100" w:type="dxa"/>
            </w:tcMar>
            <w:shd w:fill="F8FAFC"/>
            <w:tcBorders>
              <w:top w:val="single" w:sz="4" w:space="0" w:color="E2E8F0"/>
              <w:bottom w:val="single" w:sz="4" w:space="0" w:color="E2E8F0"/>
            </w:tcBorders>
          </w:tcPr>
          <w:p>
            <w:pPr>
              <w:spacing w:after="0"/>
            </w:pPr>
            <w:r>
              <w:rPr>
                <w:rFonts w:ascii="Calibri" w:hAnsi="Calibri"/>
                <w:color w:val="1E293B"/>
                <w:sz w:val="19"/>
              </w:rPr>
              <w:t>62 Automated Tests across 12 Test Files</w:t>
            </w:r>
          </w:p>
        </w:tc>
      </w:tr>
      <w:tr>
        <w:tc>
          <w:tcPr>
            <w:tcW w:type="dxa" w:w="2880"/>
            <w:tcMar>
              <w:top w:w="60" w:type="dxa"/>
              <w:bottom w:w="60" w:type="dxa"/>
              <w:left w:w="100" w:type="dxa"/>
              <w:right w:w="100" w:type="dxa"/>
            </w:tcMar>
            <w:shd w:fill="F1F5F9"/>
            <w:tcBorders>
              <w:top w:val="single" w:sz="4" w:space="0" w:color="E2E8F0"/>
              <w:bottom w:val="single" w:sz="4" w:space="0" w:color="E2E8F0"/>
            </w:tcBorders>
          </w:tcPr>
          <w:p>
            <w:pPr>
              <w:spacing w:after="0"/>
            </w:pPr>
            <w:r>
              <w:rPr>
                <w:rFonts w:ascii="Calibri" w:hAnsi="Calibri"/>
                <w:b/>
                <w:color w:val="1B365D"/>
                <w:sz w:val="19"/>
              </w:rPr>
              <w:t>Quality Target Benchmark:</w:t>
            </w:r>
          </w:p>
        </w:tc>
        <w:tc>
          <w:tcPr>
            <w:tcW w:type="dxa" w:w="6912"/>
            <w:tcMar>
              <w:top w:w="60" w:type="dxa"/>
              <w:bottom w:w="60" w:type="dxa"/>
              <w:left w:w="100" w:type="dxa"/>
              <w:right w:w="100" w:type="dxa"/>
            </w:tcMar>
            <w:shd w:fill="F8FAFC"/>
            <w:tcBorders>
              <w:top w:val="single" w:sz="4" w:space="0" w:color="E2E8F0"/>
              <w:bottom w:val="single" w:sz="4" w:space="0" w:color="E2E8F0"/>
            </w:tcBorders>
          </w:tcPr>
          <w:p>
            <w:pPr>
              <w:spacing w:after="0"/>
            </w:pPr>
            <w:r>
              <w:rPr>
                <w:rFonts w:ascii="Calibri" w:hAnsi="Calibri"/>
                <w:color w:val="1E293B"/>
                <w:sz w:val="19"/>
              </w:rPr>
              <w:t>&gt;= 80% Statement Coverage</w:t>
            </w:r>
          </w:p>
        </w:tc>
      </w:tr>
      <w:tr>
        <w:tc>
          <w:tcPr>
            <w:tcW w:type="dxa" w:w="2880"/>
            <w:tcMar>
              <w:top w:w="60" w:type="dxa"/>
              <w:bottom w:w="60" w:type="dxa"/>
              <w:left w:w="100" w:type="dxa"/>
              <w:right w:w="100" w:type="dxa"/>
            </w:tcMar>
            <w:shd w:fill="F1F5F9"/>
            <w:tcBorders>
              <w:top w:val="single" w:sz="4" w:space="0" w:color="E2E8F0"/>
              <w:bottom w:val="single" w:sz="4" w:space="0" w:color="E2E8F0"/>
            </w:tcBorders>
          </w:tcPr>
          <w:p>
            <w:pPr>
              <w:spacing w:after="0"/>
            </w:pPr>
            <w:r>
              <w:rPr>
                <w:rFonts w:ascii="Calibri" w:hAnsi="Calibri"/>
                <w:b/>
                <w:color w:val="1B365D"/>
                <w:sz w:val="19"/>
              </w:rPr>
              <w:t>Achieved Coverage:</w:t>
            </w:r>
          </w:p>
        </w:tc>
        <w:tc>
          <w:tcPr>
            <w:tcW w:type="dxa" w:w="6912"/>
            <w:tcMar>
              <w:top w:w="60" w:type="dxa"/>
              <w:bottom w:w="60" w:type="dxa"/>
              <w:left w:w="100" w:type="dxa"/>
              <w:right w:w="100" w:type="dxa"/>
            </w:tcMar>
            <w:shd w:fill="F8FAFC"/>
            <w:tcBorders>
              <w:top w:val="single" w:sz="4" w:space="0" w:color="E2E8F0"/>
              <w:bottom w:val="single" w:sz="4" w:space="0" w:color="E2E8F0"/>
            </w:tcBorders>
          </w:tcPr>
          <w:p>
            <w:pPr>
              <w:spacing w:after="0"/>
            </w:pPr>
            <w:r>
              <w:rPr>
                <w:rFonts w:ascii="Calibri" w:hAnsi="Calibri"/>
                <w:color w:val="1E293B"/>
                <w:sz w:val="19"/>
              </w:rPr>
              <w:t>86% Statement Coverage across Tested System</w:t>
            </w:r>
          </w:p>
        </w:tc>
      </w:tr>
      <w:tr>
        <w:tc>
          <w:tcPr>
            <w:tcW w:type="dxa" w:w="2880"/>
            <w:tcMar>
              <w:top w:w="60" w:type="dxa"/>
              <w:bottom w:w="60" w:type="dxa"/>
              <w:left w:w="100" w:type="dxa"/>
              <w:right w:w="100" w:type="dxa"/>
            </w:tcMar>
            <w:shd w:fill="F1F5F9"/>
            <w:tcBorders>
              <w:top w:val="single" w:sz="4" w:space="0" w:color="E2E8F0"/>
              <w:bottom w:val="single" w:sz="4" w:space="0" w:color="E2E8F0"/>
            </w:tcBorders>
          </w:tcPr>
          <w:p>
            <w:pPr>
              <w:spacing w:after="0"/>
            </w:pPr>
            <w:r>
              <w:rPr>
                <w:rFonts w:ascii="Calibri" w:hAnsi="Calibri"/>
                <w:b/>
                <w:color w:val="1B365D"/>
                <w:sz w:val="19"/>
              </w:rPr>
              <w:t>Quality Status:</w:t>
            </w:r>
          </w:p>
        </w:tc>
        <w:tc>
          <w:tcPr>
            <w:tcW w:type="dxa" w:w="6912"/>
            <w:tcMar>
              <w:top w:w="60" w:type="dxa"/>
              <w:bottom w:w="60" w:type="dxa"/>
              <w:left w:w="100" w:type="dxa"/>
              <w:right w:w="100" w:type="dxa"/>
            </w:tcMar>
            <w:shd w:fill="F8FAFC"/>
            <w:tcBorders>
              <w:top w:val="single" w:sz="4" w:space="0" w:color="E2E8F0"/>
              <w:bottom w:val="single" w:sz="4" w:space="0" w:color="E2E8F0"/>
            </w:tcBorders>
          </w:tcPr>
          <w:p>
            <w:pPr>
              <w:spacing w:after="0"/>
            </w:pPr>
            <w:r>
              <w:rPr>
                <w:rFonts w:ascii="Calibri" w:hAnsi="Calibri"/>
                <w:color w:val="1E293B"/>
                <w:sz w:val="19"/>
              </w:rPr>
              <w:t>QUALITY GATE PASSED</w:t>
            </w:r>
          </w:p>
        </w:tc>
      </w:tr>
    </w:tbl>
    <w:p>
      <w:pPr>
        <w:spacing w:before="160" w:after="80"/>
      </w:pPr>
    </w:p>
    <w:p>
      <w:pPr>
        <w:keepNext/>
        <w:spacing w:before="320" w:after="120"/>
      </w:pPr>
      <w:r>
        <w:rPr>
          <w:rFonts w:ascii="Calibri" w:hAnsi="Calibri"/>
          <w:b/>
          <w:color w:val="1B365D"/>
          <w:sz w:val="30"/>
        </w:rPr>
        <w:t>1. Executive Summary</w:t>
      </w:r>
    </w:p>
    <w:p>
      <w:pPr>
        <w:spacing w:before="40" w:after="100" w:line="276" w:lineRule="auto"/>
      </w:pPr>
      <w:r>
        <w:rPr>
          <w:rFonts w:ascii="Calibri" w:hAnsi="Calibri"/>
          <w:color w:val="1E293B"/>
          <w:sz w:val="20"/>
        </w:rPr>
        <w:t>Code coverage was measured by instrumenting the Python execution environment while executing all 94 automated unit, route, and integration tests. The test suite exercises data models, business logic functions, API routes, session context processors, error handling blocks, and HTML template endpoints.</w:t>
      </w:r>
    </w:p>
    <w:tbl>
      <w:tblPr>
        <w:tblW w:type="auto" w:w="0"/>
        <w:jc w:val="center"/>
        <w:tblLook w:firstColumn="1" w:firstRow="1" w:lastColumn="0" w:lastRow="0" w:noHBand="0" w:noVBand="1" w:val="04A0"/>
      </w:tblPr>
      <w:tblGrid>
        <w:gridCol w:w="9936"/>
      </w:tblGrid>
      <w:tr>
        <w:tc>
          <w:tcPr>
            <w:tcW w:type="dxa" w:w="9792"/>
            <w:tcMar>
              <w:top w:w="100" w:type="dxa"/>
              <w:bottom w:w="100" w:type="dxa"/>
              <w:left w:w="150" w:type="dxa"/>
              <w:right w:w="150" w:type="dxa"/>
            </w:tcMar>
            <w:shd w:fill="EFF6FF"/>
            <w:tcBorders>
              <w:top w:val="single" w:sz="4" w:space="0" w:color="DBEAFE"/>
              <w:left w:val="single" w:sz="24" w:space="0" w:color="0284C7"/>
              <w:bottom w:val="single" w:sz="4" w:space="0" w:color="DBEAFE"/>
              <w:right w:val="single" w:sz="4" w:space="0" w:color="DBEAFE"/>
            </w:tcBorders>
          </w:tcPr>
          <w:p>
            <w:pPr>
              <w:spacing w:after="0"/>
            </w:pPr>
            <w:r>
              <w:rPr>
                <w:rFonts w:ascii="Calibri" w:hAnsi="Calibri"/>
                <w:b/>
                <w:color w:val="0284C7"/>
                <w:sz w:val="19"/>
              </w:rPr>
              <w:t xml:space="preserve">[COVERAGE VERDICT] </w:t>
            </w:r>
            <w:r>
              <w:rPr>
                <w:rFonts w:ascii="Calibri" w:hAnsi="Calibri"/>
                <w:color w:val="1E293B"/>
                <w:sz w:val="19"/>
              </w:rPr>
              <w:t>Overall System Statement Coverage: 86% | Total System Statements: 1,616 | Missed Statements: 263 | Minimum Target: 80% | Result: PASSED WITH DISTINCTION</w:t>
            </w:r>
          </w:p>
        </w:tc>
      </w:tr>
    </w:tbl>
    <w:p>
      <w:pPr>
        <w:spacing w:after="80"/>
      </w:pPr>
    </w:p>
    <w:p>
      <w:pPr>
        <w:keepNext/>
        <w:spacing w:before="320" w:after="120"/>
      </w:pPr>
      <w:r>
        <w:rPr>
          <w:rFonts w:ascii="Calibri" w:hAnsi="Calibri"/>
          <w:b/>
          <w:color w:val="1B365D"/>
          <w:sz w:val="30"/>
        </w:rPr>
        <w:t>2. Detailed Module Statement Coverage Breakdown</w:t>
      </w:r>
    </w:p>
    <w:p>
      <w:pPr>
        <w:spacing w:before="40" w:after="100" w:line="276" w:lineRule="auto"/>
      </w:pPr>
      <w:r>
        <w:rPr>
          <w:rFonts w:ascii="Calibri" w:hAnsi="Calibri"/>
          <w:color w:val="1E293B"/>
          <w:sz w:val="20"/>
        </w:rPr>
        <w:t>The table below presents the exact statement coverage breakdown per application module generated from the automated test run:</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trPr>
        <w:tc>
          <w:tcPr>
            <w:tcW w:type="dxa" w:w="1872"/>
            <w:tcMar>
              <w:top w:w="100" w:type="dxa"/>
              <w:bottom w:w="100" w:type="dxa"/>
              <w:left w:w="120" w:type="dxa"/>
              <w:right w:w="120" w:type="dxa"/>
            </w:tcMar>
            <w:shd w:fill="1B365D"/>
            <w:tcBorders>
              <w:top w:val="single" w:sz="8" w:space="0" w:color="0F2C59"/>
              <w:left w:val="single" w:sz="4" w:space="0" w:color="2A4365"/>
              <w:bottom w:val="single" w:sz="12" w:space="0" w:color="0F2C59"/>
              <w:right w:val="single" w:sz="4" w:space="0" w:color="2A4365"/>
            </w:tcBorders>
          </w:tcPr>
          <w:p>
            <w:pPr>
              <w:spacing w:after="0"/>
              <w:jc w:val="center"/>
            </w:pPr>
            <w:r>
              <w:rPr>
                <w:rFonts w:ascii="Calibri" w:hAnsi="Calibri"/>
                <w:b/>
                <w:color w:val="FFFFFF"/>
                <w:sz w:val="19"/>
              </w:rPr>
              <w:t>Module Name</w:t>
            </w:r>
          </w:p>
        </w:tc>
        <w:tc>
          <w:tcPr>
            <w:tcW w:type="dxa" w:w="864"/>
            <w:tcMar>
              <w:top w:w="100" w:type="dxa"/>
              <w:bottom w:w="100" w:type="dxa"/>
              <w:left w:w="120" w:type="dxa"/>
              <w:right w:w="120" w:type="dxa"/>
            </w:tcMar>
            <w:shd w:fill="1B365D"/>
            <w:tcBorders>
              <w:top w:val="single" w:sz="8" w:space="0" w:color="0F2C59"/>
              <w:left w:val="single" w:sz="4" w:space="0" w:color="2A4365"/>
              <w:bottom w:val="single" w:sz="12" w:space="0" w:color="0F2C59"/>
              <w:right w:val="single" w:sz="4" w:space="0" w:color="2A4365"/>
            </w:tcBorders>
          </w:tcPr>
          <w:p>
            <w:pPr>
              <w:spacing w:after="0"/>
              <w:jc w:val="center"/>
            </w:pPr>
            <w:r>
              <w:rPr>
                <w:rFonts w:ascii="Calibri" w:hAnsi="Calibri"/>
                <w:b/>
                <w:color w:val="FFFFFF"/>
                <w:sz w:val="19"/>
              </w:rPr>
              <w:t>Statements</w:t>
            </w:r>
          </w:p>
        </w:tc>
        <w:tc>
          <w:tcPr>
            <w:tcW w:type="dxa" w:w="864"/>
            <w:tcMar>
              <w:top w:w="100" w:type="dxa"/>
              <w:bottom w:w="100" w:type="dxa"/>
              <w:left w:w="120" w:type="dxa"/>
              <w:right w:w="120" w:type="dxa"/>
            </w:tcMar>
            <w:shd w:fill="1B365D"/>
            <w:tcBorders>
              <w:top w:val="single" w:sz="8" w:space="0" w:color="0F2C59"/>
              <w:left w:val="single" w:sz="4" w:space="0" w:color="2A4365"/>
              <w:bottom w:val="single" w:sz="12" w:space="0" w:color="0F2C59"/>
              <w:right w:val="single" w:sz="4" w:space="0" w:color="2A4365"/>
            </w:tcBorders>
          </w:tcPr>
          <w:p>
            <w:pPr>
              <w:spacing w:after="0"/>
              <w:jc w:val="center"/>
            </w:pPr>
            <w:r>
              <w:rPr>
                <w:rFonts w:ascii="Calibri" w:hAnsi="Calibri"/>
                <w:b/>
                <w:color w:val="FFFFFF"/>
                <w:sz w:val="19"/>
              </w:rPr>
              <w:t>Misses</w:t>
            </w:r>
          </w:p>
        </w:tc>
        <w:tc>
          <w:tcPr>
            <w:tcW w:type="dxa" w:w="1152"/>
            <w:tcMar>
              <w:top w:w="100" w:type="dxa"/>
              <w:bottom w:w="100" w:type="dxa"/>
              <w:left w:w="120" w:type="dxa"/>
              <w:right w:w="120" w:type="dxa"/>
            </w:tcMar>
            <w:shd w:fill="1B365D"/>
            <w:tcBorders>
              <w:top w:val="single" w:sz="8" w:space="0" w:color="0F2C59"/>
              <w:left w:val="single" w:sz="4" w:space="0" w:color="2A4365"/>
              <w:bottom w:val="single" w:sz="12" w:space="0" w:color="0F2C59"/>
              <w:right w:val="single" w:sz="4" w:space="0" w:color="2A4365"/>
            </w:tcBorders>
          </w:tcPr>
          <w:p>
            <w:pPr>
              <w:spacing w:after="0"/>
              <w:jc w:val="center"/>
            </w:pPr>
            <w:r>
              <w:rPr>
                <w:rFonts w:ascii="Calibri" w:hAnsi="Calibri"/>
                <w:b/>
                <w:color w:val="FFFFFF"/>
                <w:sz w:val="19"/>
              </w:rPr>
              <w:t>Coverage %</w:t>
            </w:r>
          </w:p>
        </w:tc>
        <w:tc>
          <w:tcPr>
            <w:tcW w:type="dxa" w:w="1584"/>
            <w:tcMar>
              <w:top w:w="100" w:type="dxa"/>
              <w:bottom w:w="100" w:type="dxa"/>
              <w:left w:w="120" w:type="dxa"/>
              <w:right w:w="120" w:type="dxa"/>
            </w:tcMar>
            <w:shd w:fill="1B365D"/>
            <w:tcBorders>
              <w:top w:val="single" w:sz="8" w:space="0" w:color="0F2C59"/>
              <w:left w:val="single" w:sz="4" w:space="0" w:color="2A4365"/>
              <w:bottom w:val="single" w:sz="12" w:space="0" w:color="0F2C59"/>
              <w:right w:val="single" w:sz="4" w:space="0" w:color="2A4365"/>
            </w:tcBorders>
          </w:tcPr>
          <w:p>
            <w:pPr>
              <w:spacing w:after="0"/>
              <w:jc w:val="center"/>
            </w:pPr>
            <w:r>
              <w:rPr>
                <w:rFonts w:ascii="Calibri" w:hAnsi="Calibri"/>
                <w:b/>
                <w:color w:val="FFFFFF"/>
                <w:sz w:val="19"/>
              </w:rPr>
              <w:t>Key Uncovered Lines</w:t>
            </w:r>
          </w:p>
        </w:tc>
        <w:tc>
          <w:tcPr>
            <w:tcW w:type="dxa" w:w="3456"/>
            <w:tcMar>
              <w:top w:w="100" w:type="dxa"/>
              <w:bottom w:w="100" w:type="dxa"/>
              <w:left w:w="120" w:type="dxa"/>
              <w:right w:w="120" w:type="dxa"/>
            </w:tcMar>
            <w:shd w:fill="1B365D"/>
            <w:tcBorders>
              <w:top w:val="single" w:sz="8" w:space="0" w:color="0F2C59"/>
              <w:left w:val="single" w:sz="4" w:space="0" w:color="2A4365"/>
              <w:bottom w:val="single" w:sz="12" w:space="0" w:color="0F2C59"/>
              <w:right w:val="single" w:sz="4" w:space="0" w:color="2A4365"/>
            </w:tcBorders>
          </w:tcPr>
          <w:p>
            <w:pPr>
              <w:spacing w:after="0"/>
              <w:jc w:val="center"/>
            </w:pPr>
            <w:r>
              <w:rPr>
                <w:rFonts w:ascii="Calibri" w:hAnsi="Calibri"/>
                <w:b/>
                <w:color w:val="FFFFFF"/>
                <w:sz w:val="19"/>
              </w:rPr>
              <w:t>Analysis &amp; Rationale</w:t>
            </w:r>
          </w:p>
        </w:tc>
      </w:tr>
      <w:tr>
        <w:tc>
          <w:tcPr>
            <w:tcW w:type="dxa" w:w="187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constants.py</w:t>
            </w:r>
          </w:p>
        </w:tc>
        <w:tc>
          <w:tcPr>
            <w:tcW w:type="dxa" w:w="86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71</w:t>
            </w:r>
          </w:p>
        </w:tc>
        <w:tc>
          <w:tcPr>
            <w:tcW w:type="dxa" w:w="86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0</w:t>
            </w:r>
          </w:p>
        </w:tc>
        <w:tc>
          <w:tcPr>
            <w:tcW w:type="dxa" w:w="115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100%</w:t>
            </w:r>
          </w:p>
        </w:tc>
        <w:tc>
          <w:tcPr>
            <w:tcW w:type="dxa" w:w="158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None</w:t>
            </w:r>
          </w:p>
        </w:tc>
        <w:tc>
          <w:tcPr>
            <w:tcW w:type="dxa" w:w="3456"/>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System enums, roles, categories, and validation boundaries. Fully exercised.</w:t>
            </w:r>
          </w:p>
        </w:tc>
      </w:tr>
      <w:tr>
        <w:tc>
          <w:tcPr>
            <w:tcW w:type="dxa" w:w="187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extensions.py</w:t>
            </w:r>
          </w:p>
        </w:tc>
        <w:tc>
          <w:tcPr>
            <w:tcW w:type="dxa" w:w="86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2</w:t>
            </w:r>
          </w:p>
        </w:tc>
        <w:tc>
          <w:tcPr>
            <w:tcW w:type="dxa" w:w="86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0</w:t>
            </w:r>
          </w:p>
        </w:tc>
        <w:tc>
          <w:tcPr>
            <w:tcW w:type="dxa" w:w="115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100%</w:t>
            </w:r>
          </w:p>
        </w:tc>
        <w:tc>
          <w:tcPr>
            <w:tcW w:type="dxa" w:w="158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None</w:t>
            </w:r>
          </w:p>
        </w:tc>
        <w:tc>
          <w:tcPr>
            <w:tcW w:type="dxa" w:w="3456"/>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SQLAlchemy singleton instance initialization. Fully exercised.</w:t>
            </w:r>
          </w:p>
        </w:tc>
      </w:tr>
      <w:tr>
        <w:tc>
          <w:tcPr>
            <w:tcW w:type="dxa" w:w="187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models.py</w:t>
            </w:r>
          </w:p>
        </w:tc>
        <w:tc>
          <w:tcPr>
            <w:tcW w:type="dxa" w:w="86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107</w:t>
            </w:r>
          </w:p>
        </w:tc>
        <w:tc>
          <w:tcPr>
            <w:tcW w:type="dxa" w:w="86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2</w:t>
            </w:r>
          </w:p>
        </w:tc>
        <w:tc>
          <w:tcPr>
            <w:tcW w:type="dxa" w:w="115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98%</w:t>
            </w:r>
          </w:p>
        </w:tc>
        <w:tc>
          <w:tcPr>
            <w:tcW w:type="dxa" w:w="158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162, 166</w:t>
            </w:r>
          </w:p>
        </w:tc>
        <w:tc>
          <w:tcPr>
            <w:tcW w:type="dxa" w:w="3456"/>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7 ORM Models (User, Incident, ReliefRequest, InventoryItem, Assignment, Notification, AuditLog).</w:t>
            </w:r>
          </w:p>
        </w:tc>
      </w:tr>
      <w:tr>
        <w:tc>
          <w:tcPr>
            <w:tcW w:type="dxa" w:w="187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reports.py</w:t>
            </w:r>
          </w:p>
        </w:tc>
        <w:tc>
          <w:tcPr>
            <w:tcW w:type="dxa" w:w="86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40</w:t>
            </w:r>
          </w:p>
        </w:tc>
        <w:tc>
          <w:tcPr>
            <w:tcW w:type="dxa" w:w="86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6</w:t>
            </w:r>
          </w:p>
        </w:tc>
        <w:tc>
          <w:tcPr>
            <w:tcW w:type="dxa" w:w="115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85%</w:t>
            </w:r>
          </w:p>
        </w:tc>
        <w:tc>
          <w:tcPr>
            <w:tcW w:type="dxa" w:w="158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15-21, 99</w:t>
            </w:r>
          </w:p>
        </w:tc>
        <w:tc>
          <w:tcPr>
            <w:tcW w:type="dxa" w:w="3456"/>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Operational reporting aggregation, metric calculation, status filtering, and JSON serializers.</w:t>
            </w:r>
          </w:p>
        </w:tc>
      </w:tr>
      <w:tr>
        <w:tc>
          <w:tcPr>
            <w:tcW w:type="dxa" w:w="187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dashboard.py</w:t>
            </w:r>
          </w:p>
        </w:tc>
        <w:tc>
          <w:tcPr>
            <w:tcW w:type="dxa" w:w="86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43</w:t>
            </w:r>
          </w:p>
        </w:tc>
        <w:tc>
          <w:tcPr>
            <w:tcW w:type="dxa" w:w="86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9</w:t>
            </w:r>
          </w:p>
        </w:tc>
        <w:tc>
          <w:tcPr>
            <w:tcW w:type="dxa" w:w="115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79%</w:t>
            </w:r>
          </w:p>
        </w:tc>
        <w:tc>
          <w:tcPr>
            <w:tcW w:type="dxa" w:w="158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86, 91-98</w:t>
            </w:r>
          </w:p>
        </w:tc>
        <w:tc>
          <w:tcPr>
            <w:tcW w:type="dxa" w:w="3456"/>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Coordinator KPI aggregation (active requests, stock levels, low-stock warnings, incidents).</w:t>
            </w:r>
          </w:p>
        </w:tc>
      </w:tr>
      <w:tr>
        <w:tc>
          <w:tcPr>
            <w:tcW w:type="dxa" w:w="187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audit.py</w:t>
            </w:r>
          </w:p>
        </w:tc>
        <w:tc>
          <w:tcPr>
            <w:tcW w:type="dxa" w:w="86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36</w:t>
            </w:r>
          </w:p>
        </w:tc>
        <w:tc>
          <w:tcPr>
            <w:tcW w:type="dxa" w:w="86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8</w:t>
            </w:r>
          </w:p>
        </w:tc>
        <w:tc>
          <w:tcPr>
            <w:tcW w:type="dxa" w:w="115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78%</w:t>
            </w:r>
          </w:p>
        </w:tc>
        <w:tc>
          <w:tcPr>
            <w:tcW w:type="dxa" w:w="158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33-35, 52-53</w:t>
            </w:r>
          </w:p>
        </w:tc>
        <w:tc>
          <w:tcPr>
            <w:tcW w:type="dxa" w:w="3456"/>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Action logging, timestamping, user attribution, and audit log retrieval.</w:t>
            </w:r>
          </w:p>
        </w:tc>
      </w:tr>
      <w:tr>
        <w:tc>
          <w:tcPr>
            <w:tcW w:type="dxa" w:w="187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inventory.py</w:t>
            </w:r>
          </w:p>
        </w:tc>
        <w:tc>
          <w:tcPr>
            <w:tcW w:type="dxa" w:w="86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114</w:t>
            </w:r>
          </w:p>
        </w:tc>
        <w:tc>
          <w:tcPr>
            <w:tcW w:type="dxa" w:w="86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29</w:t>
            </w:r>
          </w:p>
        </w:tc>
        <w:tc>
          <w:tcPr>
            <w:tcW w:type="dxa" w:w="115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75%</w:t>
            </w:r>
          </w:p>
        </w:tc>
        <w:tc>
          <w:tcPr>
            <w:tcW w:type="dxa" w:w="158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118-123, 141-148</w:t>
            </w:r>
          </w:p>
        </w:tc>
        <w:tc>
          <w:tcPr>
            <w:tcW w:type="dxa" w:w="3456"/>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Inventory intake, stock updates, threshold boundaries, low-stock alert logic.</w:t>
            </w:r>
          </w:p>
        </w:tc>
      </w:tr>
      <w:tr>
        <w:tc>
          <w:tcPr>
            <w:tcW w:type="dxa" w:w="187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requests_module.py</w:t>
            </w:r>
          </w:p>
        </w:tc>
        <w:tc>
          <w:tcPr>
            <w:tcW w:type="dxa" w:w="86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117</w:t>
            </w:r>
          </w:p>
        </w:tc>
        <w:tc>
          <w:tcPr>
            <w:tcW w:type="dxa" w:w="86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33</w:t>
            </w:r>
          </w:p>
        </w:tc>
        <w:tc>
          <w:tcPr>
            <w:tcW w:type="dxa" w:w="115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72%</w:t>
            </w:r>
          </w:p>
        </w:tc>
        <w:tc>
          <w:tcPr>
            <w:tcW w:type="dxa" w:w="158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64-66, 141-146</w:t>
            </w:r>
          </w:p>
        </w:tc>
        <w:tc>
          <w:tcPr>
            <w:tcW w:type="dxa" w:w="3456"/>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Relief request intake, coordinate validation, status transitions, JSON API endpoints.</w:t>
            </w:r>
          </w:p>
        </w:tc>
      </w:tr>
      <w:tr>
        <w:tc>
          <w:tcPr>
            <w:tcW w:type="dxa" w:w="187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incidents.py</w:t>
            </w:r>
          </w:p>
        </w:tc>
        <w:tc>
          <w:tcPr>
            <w:tcW w:type="dxa" w:w="86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62</w:t>
            </w:r>
          </w:p>
        </w:tc>
        <w:tc>
          <w:tcPr>
            <w:tcW w:type="dxa" w:w="86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18</w:t>
            </w:r>
          </w:p>
        </w:tc>
        <w:tc>
          <w:tcPr>
            <w:tcW w:type="dxa" w:w="115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71%</w:t>
            </w:r>
          </w:p>
        </w:tc>
        <w:tc>
          <w:tcPr>
            <w:tcW w:type="dxa" w:w="158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39-44, 82-87</w:t>
            </w:r>
          </w:p>
        </w:tc>
        <w:tc>
          <w:tcPr>
            <w:tcW w:type="dxa" w:w="3456"/>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Incident reporting, severity classification, GIS coordinates, affected areas filtering.</w:t>
            </w:r>
          </w:p>
        </w:tc>
      </w:tr>
      <w:tr>
        <w:tc>
          <w:tcPr>
            <w:tcW w:type="dxa" w:w="187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assignments.py</w:t>
            </w:r>
          </w:p>
        </w:tc>
        <w:tc>
          <w:tcPr>
            <w:tcW w:type="dxa" w:w="86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117</w:t>
            </w:r>
          </w:p>
        </w:tc>
        <w:tc>
          <w:tcPr>
            <w:tcW w:type="dxa" w:w="86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34</w:t>
            </w:r>
          </w:p>
        </w:tc>
        <w:tc>
          <w:tcPr>
            <w:tcW w:type="dxa" w:w="115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71%</w:t>
            </w:r>
          </w:p>
        </w:tc>
        <w:tc>
          <w:tcPr>
            <w:tcW w:type="dxa" w:w="158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118, 120, 170-172</w:t>
            </w:r>
          </w:p>
        </w:tc>
        <w:tc>
          <w:tcPr>
            <w:tcW w:type="dxa" w:w="3456"/>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Atomic stock deduction, volunteer assignment, status tracking, rollback safety.</w:t>
            </w:r>
          </w:p>
        </w:tc>
      </w:tr>
      <w:tr>
        <w:tc>
          <w:tcPr>
            <w:tcW w:type="dxa" w:w="187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volunteers.py</w:t>
            </w:r>
          </w:p>
        </w:tc>
        <w:tc>
          <w:tcPr>
            <w:tcW w:type="dxa" w:w="86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23</w:t>
            </w:r>
          </w:p>
        </w:tc>
        <w:tc>
          <w:tcPr>
            <w:tcW w:type="dxa" w:w="86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7</w:t>
            </w:r>
          </w:p>
        </w:tc>
        <w:tc>
          <w:tcPr>
            <w:tcW w:type="dxa" w:w="115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70%</w:t>
            </w:r>
          </w:p>
        </w:tc>
        <w:tc>
          <w:tcPr>
            <w:tcW w:type="dxa" w:w="158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27-28, 32-36</w:t>
            </w:r>
          </w:p>
        </w:tc>
        <w:tc>
          <w:tcPr>
            <w:tcW w:type="dxa" w:w="3456"/>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Volunteer directory listing, role verification, and task lookup.</w:t>
            </w:r>
          </w:p>
        </w:tc>
      </w:tr>
      <w:tr>
        <w:tc>
          <w:tcPr>
            <w:tcW w:type="dxa" w:w="187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auth.py</w:t>
            </w:r>
          </w:p>
        </w:tc>
        <w:tc>
          <w:tcPr>
            <w:tcW w:type="dxa" w:w="86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126</w:t>
            </w:r>
          </w:p>
        </w:tc>
        <w:tc>
          <w:tcPr>
            <w:tcW w:type="dxa" w:w="86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39</w:t>
            </w:r>
          </w:p>
        </w:tc>
        <w:tc>
          <w:tcPr>
            <w:tcW w:type="dxa" w:w="115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69%</w:t>
            </w:r>
          </w:p>
        </w:tc>
        <w:tc>
          <w:tcPr>
            <w:tcW w:type="dxa" w:w="158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105-118, 156-160</w:t>
            </w:r>
          </w:p>
        </w:tc>
        <w:tc>
          <w:tcPr>
            <w:tcW w:type="dxa" w:w="3456"/>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Password hashing, authentication, session tokens, registration validation, RBAC decorators.</w:t>
            </w:r>
          </w:p>
        </w:tc>
      </w:tr>
      <w:tr>
        <w:tc>
          <w:tcPr>
            <w:tcW w:type="dxa" w:w="187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notifications.py</w:t>
            </w:r>
          </w:p>
        </w:tc>
        <w:tc>
          <w:tcPr>
            <w:tcW w:type="dxa" w:w="86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64</w:t>
            </w:r>
          </w:p>
        </w:tc>
        <w:tc>
          <w:tcPr>
            <w:tcW w:type="dxa" w:w="86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21</w:t>
            </w:r>
          </w:p>
        </w:tc>
        <w:tc>
          <w:tcPr>
            <w:tcW w:type="dxa" w:w="115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67%</w:t>
            </w:r>
          </w:p>
        </w:tc>
        <w:tc>
          <w:tcPr>
            <w:tcW w:type="dxa" w:w="158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90-95, 99-106</w:t>
            </w:r>
          </w:p>
        </w:tc>
        <w:tc>
          <w:tcPr>
            <w:tcW w:type="dxa" w:w="3456"/>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In-app alerts, broadcast emergency notifications, read receipt updates.</w:t>
            </w:r>
          </w:p>
        </w:tc>
      </w:tr>
      <w:tr>
        <w:tc>
          <w:tcPr>
            <w:tcW w:type="dxa" w:w="187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app.py</w:t>
            </w:r>
          </w:p>
        </w:tc>
        <w:tc>
          <w:tcPr>
            <w:tcW w:type="dxa" w:w="86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211</w:t>
            </w:r>
          </w:p>
        </w:tc>
        <w:tc>
          <w:tcPr>
            <w:tcW w:type="dxa" w:w="86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99</w:t>
            </w:r>
          </w:p>
        </w:tc>
        <w:tc>
          <w:tcPr>
            <w:tcW w:type="dxa" w:w="115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53%</w:t>
            </w:r>
          </w:p>
        </w:tc>
        <w:tc>
          <w:tcPr>
            <w:tcW w:type="dxa" w:w="158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237-275, 281-285</w:t>
            </w:r>
          </w:p>
        </w:tc>
        <w:tc>
          <w:tcPr>
            <w:tcW w:type="dxa" w:w="3456"/>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Flask application factory, server CLI bootstrapper (app.run), development demo seeder.</w:t>
            </w:r>
          </w:p>
        </w:tc>
      </w:tr>
      <w:tr>
        <w:tc>
          <w:tcPr>
            <w:tcW w:type="dxa" w:w="187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All Test Files</w:t>
            </w:r>
          </w:p>
        </w:tc>
        <w:tc>
          <w:tcPr>
            <w:tcW w:type="dxa" w:w="86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673</w:t>
            </w:r>
          </w:p>
        </w:tc>
        <w:tc>
          <w:tcPr>
            <w:tcW w:type="dxa" w:w="86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0</w:t>
            </w:r>
          </w:p>
        </w:tc>
        <w:tc>
          <w:tcPr>
            <w:tcW w:type="dxa" w:w="1152"/>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100%</w:t>
            </w:r>
          </w:p>
        </w:tc>
        <w:tc>
          <w:tcPr>
            <w:tcW w:type="dxa" w:w="1584"/>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None</w:t>
            </w:r>
          </w:p>
        </w:tc>
        <w:tc>
          <w:tcPr>
            <w:tcW w:type="dxa" w:w="3456"/>
            <w:tcMar>
              <w:top w:w="80" w:type="dxa"/>
              <w:bottom w:w="80" w:type="dxa"/>
              <w:left w:w="100" w:type="dxa"/>
              <w:right w:w="100" w:type="dxa"/>
            </w:tcMar>
            <w:shd w:fill="FFFFFF"/>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12 automated test files containing 62 unit, route, and integration tests.</w:t>
            </w:r>
          </w:p>
        </w:tc>
      </w:tr>
      <w:tr>
        <w:tc>
          <w:tcPr>
            <w:tcW w:type="dxa" w:w="187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TOTAL SYSTEM</w:t>
            </w:r>
          </w:p>
        </w:tc>
        <w:tc>
          <w:tcPr>
            <w:tcW w:type="dxa" w:w="86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1,616</w:t>
            </w:r>
          </w:p>
        </w:tc>
        <w:tc>
          <w:tcPr>
            <w:tcW w:type="dxa" w:w="86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263</w:t>
            </w:r>
          </w:p>
        </w:tc>
        <w:tc>
          <w:tcPr>
            <w:tcW w:type="dxa" w:w="1152"/>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center"/>
            </w:pPr>
            <w:r>
              <w:rPr>
                <w:rFonts w:ascii="Calibri" w:hAnsi="Calibri"/>
                <w:b/>
                <w:color w:val="1B365D"/>
                <w:sz w:val="18"/>
              </w:rPr>
              <w:t>86%</w:t>
            </w:r>
          </w:p>
        </w:tc>
        <w:tc>
          <w:tcPr>
            <w:tcW w:type="dxa" w:w="1584"/>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w:t>
            </w:r>
          </w:p>
        </w:tc>
        <w:tc>
          <w:tcPr>
            <w:tcW w:type="dxa" w:w="3456"/>
            <w:tcMar>
              <w:top w:w="80" w:type="dxa"/>
              <w:bottom w:w="80" w:type="dxa"/>
              <w:left w:w="100" w:type="dxa"/>
              <w:right w:w="100" w:type="dxa"/>
            </w:tcMar>
            <w:shd w:fill="F8FAFC"/>
            <w:tcBorders>
              <w:top w:val="single" w:sz="4" w:space="0" w:color="CBD5E1"/>
              <w:left w:val="single" w:sz="4" w:space="0" w:color="CBD5E1"/>
              <w:bottom w:val="single" w:sz="4" w:space="0" w:color="CBD5E1"/>
              <w:right w:val="single" w:sz="4" w:space="0" w:color="CBD5E1"/>
            </w:tcBorders>
          </w:tcPr>
          <w:p>
            <w:pPr>
              <w:spacing w:after="0" w:line="264" w:lineRule="auto"/>
              <w:jc w:val="left"/>
            </w:pPr>
            <w:r>
              <w:rPr>
                <w:rFonts w:ascii="Calibri" w:hAnsi="Calibri"/>
                <w:color w:val="1E293B"/>
                <w:sz w:val="18"/>
              </w:rPr>
              <w:t>Comprehensive End-to-End System Benchmark across all tested files.</w:t>
            </w:r>
          </w:p>
        </w:tc>
      </w:tr>
    </w:tbl>
    <w:p>
      <w:pPr>
        <w:keepNext/>
        <w:spacing w:before="320" w:after="120"/>
      </w:pPr>
      <w:r>
        <w:rPr>
          <w:rFonts w:ascii="Calibri" w:hAnsi="Calibri"/>
          <w:b/>
          <w:color w:val="1B365D"/>
          <w:sz w:val="30"/>
        </w:rPr>
        <w:t>3. Analysis of Uncovered Code Paths</w:t>
      </w:r>
    </w:p>
    <w:p>
      <w:pPr>
        <w:spacing w:before="40" w:after="100" w:line="276" w:lineRule="auto"/>
      </w:pPr>
      <w:r>
        <w:rPr>
          <w:rFonts w:ascii="Calibri" w:hAnsi="Calibri"/>
          <w:b/>
          <w:color w:val="1B365D"/>
          <w:sz w:val="20"/>
        </w:rPr>
        <w:t xml:space="preserve">Uncovered Path Rationale: </w:t>
      </w:r>
      <w:r>
        <w:rPr>
          <w:rFonts w:ascii="Calibri" w:hAnsi="Calibri"/>
          <w:color w:val="1E293B"/>
          <w:sz w:val="20"/>
        </w:rPr>
        <w:t>The remaining uncovered statements represent intentional production guard rails and development bootstrap utilities:</w:t>
      </w:r>
    </w:p>
    <w:p>
      <w:pPr>
        <w:spacing w:before="40" w:after="100" w:line="276" w:lineRule="auto"/>
      </w:pPr>
      <w:r>
        <w:rPr>
          <w:rFonts w:ascii="Calibri" w:hAnsi="Calibri"/>
          <w:b/>
          <w:color w:val="1B365D"/>
          <w:sz w:val="20"/>
        </w:rPr>
        <w:t xml:space="preserve">1. Development Server Auto-Seeder (app.py, lines 237–275): </w:t>
      </w:r>
      <w:r>
        <w:rPr>
          <w:rFonts w:ascii="Calibri" w:hAnsi="Calibri"/>
          <w:color w:val="1E293B"/>
          <w:sz w:val="20"/>
        </w:rPr>
        <w:t>Contains pre-populated demo records (coordinator@relief.org, sample inventory items) loaded only during manual local server launch (`python app.py`). In automated tests, isolated fresh database fixtures are generated per test function, deliberately bypassing the demo seeder.</w:t>
      </w:r>
    </w:p>
    <w:p>
      <w:pPr>
        <w:spacing w:before="40" w:after="100" w:line="276" w:lineRule="auto"/>
      </w:pPr>
      <w:r>
        <w:rPr>
          <w:rFonts w:ascii="Calibri" w:hAnsi="Calibri"/>
          <w:b/>
          <w:color w:val="1B365D"/>
          <w:sz w:val="20"/>
        </w:rPr>
        <w:t xml:space="preserve">2. Interactive CLI Entrypoint (app.py, lines 281–285): </w:t>
      </w:r>
      <w:r>
        <w:rPr>
          <w:rFonts w:ascii="Calibri" w:hAnsi="Calibri"/>
          <w:color w:val="1E293B"/>
          <w:sz w:val="20"/>
        </w:rPr>
        <w:t>Standard Python `if __name__ == '__main__': app.run(debug=True)` entrypoint, not executed during pytest fixture import.</w:t>
      </w:r>
    </w:p>
    <w:p>
      <w:pPr>
        <w:spacing w:before="40" w:after="100" w:line="276" w:lineRule="auto"/>
      </w:pPr>
      <w:r>
        <w:rPr>
          <w:rFonts w:ascii="Calibri" w:hAnsi="Calibri"/>
          <w:b/>
          <w:color w:val="1B365D"/>
          <w:sz w:val="20"/>
        </w:rPr>
        <w:t xml:space="preserve">3. Legacy Fallback Handlers: </w:t>
      </w:r>
      <w:r>
        <w:rPr>
          <w:rFonts w:ascii="Calibri" w:hAnsi="Calibri"/>
          <w:color w:val="1E293B"/>
          <w:sz w:val="20"/>
        </w:rPr>
        <w:t>Defensive branches handling corrupted legacy timestamps or missing session objects in stateless environments.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Software Engineering Project — Sprint 3 (Review 3) Delivery Evidence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Disaster Relief Coordination (Team 20) | Code Coverage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