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B365D"/>
          <w:sz w:val="44"/>
        </w:rPr>
        <w:t>Project Defect Log</w:t>
      </w:r>
    </w:p>
    <w:p>
      <w:pPr>
        <w:spacing w:before="0" w:after="240"/>
      </w:pPr>
      <w:r>
        <w:rPr>
          <w:rFonts w:ascii="Calibri" w:hAnsi="Calibri"/>
          <w:i/>
          <w:color w:val="0284C7"/>
          <w:sz w:val="24"/>
        </w:rPr>
        <w:t>Disaster Relief Resource Coordination System (Team 20) — Sprint 3 (Review 3) Delivery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Project Name: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Disaster Relief Resource Coordination System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Document Version: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2.0.0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Total Defects Logged: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10 Defects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Total Defects Resolved: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10 Defects (100% Resolution Rate)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Open Defects Remaining: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0 Defects</w:t>
            </w:r>
          </w:p>
        </w:tc>
      </w:tr>
      <w:tr>
        <w:tc>
          <w:tcPr>
            <w:tcW w:type="dxa" w:w="2880"/>
            <w:tcMar>
              <w:top w:w="60" w:type="dxa"/>
              <w:bottom w:w="60" w:type="dxa"/>
              <w:left w:w="100" w:type="dxa"/>
              <w:right w:w="100" w:type="dxa"/>
            </w:tcMar>
            <w:shd w:fill="F1F5F9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B365D"/>
                <w:sz w:val="19"/>
              </w:rPr>
              <w:t>Quality Status:</w:t>
            </w:r>
          </w:p>
        </w:tc>
        <w:tc>
          <w:tcPr>
            <w:tcW w:type="dxa" w:w="6912"/>
            <w:tcMar>
              <w:top w:w="60" w:type="dxa"/>
              <w:bottom w:w="60" w:type="dxa"/>
              <w:left w:w="100" w:type="dxa"/>
              <w:right w:w="100" w:type="dxa"/>
            </w:tcMar>
            <w:shd w:fill="F8FAFC"/>
            <w:tcBorders>
              <w:top w:val="single" w:sz="4" w:space="0" w:color="E2E8F0"/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Calibri" w:hAnsi="Calibri"/>
                <w:color w:val="1E293B"/>
                <w:sz w:val="19"/>
              </w:rPr>
              <w:t>VERIFIED &amp; CLOSED</w:t>
            </w:r>
          </w:p>
        </w:tc>
      </w:tr>
    </w:tbl>
    <w:p>
      <w:pPr>
        <w:spacing w:before="160"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1. Defect Classification &amp; Severity Scheme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Defects logged during development, automated testing, and integration are classified according to severity and resolution lifecycle: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216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Severity Level</w:t>
            </w:r>
          </w:p>
        </w:tc>
        <w:tc>
          <w:tcPr>
            <w:tcW w:type="dxa" w:w="504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Definition &amp; Impact</w:t>
            </w:r>
          </w:p>
        </w:tc>
        <w:tc>
          <w:tcPr>
            <w:tcW w:type="dxa" w:w="259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SLA &amp; Action Taken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Critical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System crash, transactional data corruption, stock leakage, or security breach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Immediate hotfix prior to branch merge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High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Primary feature malfunction, broken template rendering, or unauthorized access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Resolved within sprint milestone with regression test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Medium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Data boundary bypass, input validation omission, or missing error feedback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Resolved with input validation guards and unit tests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Low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Minor UI alignment, cosmetic label mismatch, or non-blocking logging issue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Resolved during polish and refactor phase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2. Master Defect Register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The register below documents all 10 defects identified during testing and integration, detailing the root cause, resolution commit, verification test, and final closed status: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rPr>
          <w:tblHeader/>
        </w:trPr>
        <w:tc>
          <w:tcPr>
            <w:tcW w:type="dxa" w:w="129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Defect ID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1152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Severity</w:t>
            </w:r>
          </w:p>
        </w:tc>
        <w:tc>
          <w:tcPr>
            <w:tcW w:type="dxa" w:w="2304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&amp; Root Cause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Resolution Details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Verification Test</w:t>
            </w:r>
          </w:p>
        </w:tc>
        <w:tc>
          <w:tcPr>
            <w:tcW w:type="dxa" w:w="576"/>
            <w:tcMar>
              <w:top w:w="100" w:type="dxa"/>
              <w:bottom w:w="100" w:type="dxa"/>
              <w:left w:w="120" w:type="dxa"/>
              <w:right w:w="120" w:type="dxa"/>
            </w:tcMar>
            <w:shd w:fill="1B365D"/>
            <w:tcBorders>
              <w:top w:val="single" w:sz="8" w:space="0" w:color="0F2C59"/>
              <w:left w:val="single" w:sz="4" w:space="0" w:color="2A4365"/>
              <w:bottom w:val="single" w:sz="12" w:space="0" w:color="0F2C59"/>
              <w:right w:val="single" w:sz="4" w:space="0" w:color="2A436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DEF-001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 UI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Template Context Missing 'items' variable: When rendering inventory.html, the route passed inventory=... while the template referenced {% for item in items %}, causing blank table rendering.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Updated render_template() in routes/inventory.py to pass both items=items and inventory=items for backwards compatibility (Commit b0a692d).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test_inventory_routes_and_access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DEF-002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Allocation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Critical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Non-Atomic Stock Deduction on Allocation Failure: Inventory stock was decremented before validating volunteer role. If volunteer assignment failed, stock remained deducted without rolling back.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Wrapped stock deduction, assignment record creation, request status transition, and audit logging into a single atomic transaction with try...except db.session.rollback().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test_allocation_insufficient_stock_fails_atomically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Incidents &amp; Requests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Medium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Geographical Coordinates Out-of-Bounds Bypass: Latitude values &gt; 90 and longitude values &gt; 180 were accepted without validation, corrupting mapping coordinates and spatial queries.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Added explicit boundary checks (-90 &lt;= lat &lt;= 90) and (-180 &lt;= lon &lt;= 180) in create_incident() and create_relief_request(), returning HTTP 400 Bad Request on violation.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test_incident_rejects_invalid_latitude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Inventory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Medium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Negative Quantity and Threshold Acceptance: Manual stock intake allowed negative numbers (quantity = -5, threshold = -10), breaking low-stock calculation logic and corrupting stock totals.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Added numerical input guards in create_inventory_item() raising ValueError('quantity cannot be negative') and ValueError('threshold cannot be negative').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test_create_inventory_rejects_negative_quantity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Reports &amp; Audit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Unauthorized Access to Coordinator Reports &amp; Logs: /reports/summary and /audit/ were protected only with @login_required instead of role checks, exposing administrative metrics to victims.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Implemented and applied @roles_required(['Coordinator', 'Admin']) decorator; unauthenticated users receive HTTP 401 and unauthorized roles receive HTTP 403 Forbidden.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test_summary_report_forbidden_for_victim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DEF-006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Critical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Plaintext Password Exposure Risk on User Ingestion: Helper registration scripts risked persisting raw passwords directly onto the database user model without cryptographic hashing.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Enforced salted PBKDF2-SHA256 password hashing in register_user() via werkzeug.security.generate_password_hash() and verified raw password strings are never saved.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test_password_is_hashed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Notifications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Cross-User Notification Read Tampering: mark_notification_read(notification_id, user_id) failed to verify ownership, allowing any authenticated user to dismiss other users' alerts.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Added ownership verification check if notification.user_id != user_id: raise ValueError('Unauthorized'), preventing cross-account tampering.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test_mark_read_only_for_owner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DEF-008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Volunteer Dispatch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Medium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Non-Volunteer Role Assigned to Delivery Tasks: Dispatch console permitted assigning users with 'Victim' role to delivery tasks, resulting in ordinary victims receiving dispatch tasks.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Added explicit role validation if user.role != ROLE_VOLUNTEER: raise ValueError('Assigned user must be a Volunteer').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test_non_volunteer_cannot_be_assigned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DEF-009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Authentication &amp; RBAC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Critical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Public Registration Role Escalation Vulnerability (TEAM20-53): Callers could send role='Admin' or 'Coordinator' during self-registration, granting themselves elevated privileges.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Hardcoded role = ROLE_VICTIM in public registration routes; removed role selector dropdown from register.html; added admin-only role update endpoint.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test_api_registration_cannot_choose_role (9 tests)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  <w:tr>
        <w:tc>
          <w:tcPr>
            <w:tcW w:type="dxa" w:w="129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B365D"/>
                <w:sz w:val="18"/>
              </w:rPr>
              <w:t>DEF-010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Resource Allocation</w:t>
            </w:r>
          </w:p>
        </w:tc>
        <w:tc>
          <w:tcPr>
            <w:tcW w:type="dxa" w:w="115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High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Allocation Context &amp; Edge Cases (TEAM20-55): Dropdown context missing requests on error; allocating nonexistent request/item or invalid quantity led to 500 error instead of graceful error feedback.</w:t>
            </w:r>
          </w:p>
        </w:tc>
        <w:tc>
          <w:tcPr>
            <w:tcW w:type="dxa" w:w="201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Created assignments_page_context() helper to ensure dropdowns always populate; added guards in allocate_request() for nonexistent IDs, invalid quantities, and duplicate assignments.</w:t>
            </w:r>
          </w:p>
        </w:tc>
        <w:tc>
          <w:tcPr>
            <w:tcW w:type="dxa" w:w="100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test_allocation_rejects_nonexistent_request (8 tests)</w:t>
            </w:r>
          </w:p>
        </w:tc>
        <w:tc>
          <w:tcPr>
            <w:tcW w:type="dxa" w:w="576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DCFCE7"/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66534"/>
                <w:sz w:val="18"/>
              </w:rPr>
              <w:t>CLOSED</w:t>
            </w:r>
          </w:p>
        </w:tc>
      </w:tr>
    </w:tbl>
    <w:p>
      <w:pPr>
        <w:keepNext/>
        <w:spacing w:before="320" w:after="120"/>
      </w:pPr>
      <w:r>
        <w:rPr>
          <w:rFonts w:ascii="Calibri" w:hAnsi="Calibri"/>
          <w:b/>
          <w:color w:val="1B365D"/>
          <w:sz w:val="30"/>
        </w:rPr>
        <w:t>3. Defect Metrics &amp; Resolution Summary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0"/>
        </w:rPr>
        <w:t>All 10 logged defects have been completely resolved and validated with automated regression test cases. There are zero open, unresolved, or deferred defects remaining for the Review 2 milestone.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Software Engineering Project — Sprint 3 (Review 3) Delivery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Disaster Relief Coordination (Team 20) | Defect 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