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Access Control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349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SWTID-2026-3160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team shall fill the following information to demonstrate the implementation and validation of the Script-Controlled ACLs in ServiceNow.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and Role Creation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User created. Custom roles bb1, bb2, bb3 and bb4 created and assigned as required. Screenshot to be attached.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8255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825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Table and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Table: u_institution_details. Fields include Student Roll Number, Student Name, Faculty Name, Branch, Email, Phone Number and Description. Branch values: ECE, EEE, CSE.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4572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9525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7874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Read ACL configured for u_institution_details. bb1 required; EEE branch condition applied; Admin retains full access.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6858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Create ACL configured for u_institution_details. bb2 required.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6096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3937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Write ACL configured for u_institution_details. bb3 required.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588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457200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Delete ACL configured for u_institution_details. bb4 required.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3556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6604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Impersonation testing: bb1 user can view EEE records; users without required roles are denied; Admin can access all records.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28825" cy="5842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with bb1+bb2 can create; bb1+bb2+bb3 can edit; bb1+bb2+bb3+bb4 can delete, according to the project configuration.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script checks admin access, checks the bb1 role, and denies access for other users.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Record-level security is enforced through roles and the Branch field, restricting unauthorized viewing, creation, modification and deletion.</w:t>
            </w:r>
          </w:p>
        </w:tc>
      </w:tr>
    </w:tbl>
    <w:p w:rsidR="00000000" w:rsidDel="00000000" w:rsidP="00000000" w:rsidRDefault="00000000" w:rsidRPr="00000000" w14:paraId="0000002F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ServiceNow ACL configuration should correctly enforce access permissions for the Institution Details records based on user roles and the EEE branch condition, while allowing administrators full access.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7"/>
          <w:szCs w:val="27"/>
          <w:shd w:fill="f8fafd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