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RFP 문서로부터의 요구사항 추출·구조화: 규칙 기반 방식과 상용 LLM의 비교</w:t>
      </w:r>
    </w:p>
    <w:p>
      <w:pPr>
        <w:spacing w:after="60"/>
        <w:jc w:val="center"/>
      </w:pPr>
      <w:r>
        <w:rPr>
          <w:i/>
          <w:iCs/>
          <w:color w:val="555555"/>
          <w:sz w:val="19"/>
          <w:szCs w:val="19"/>
        </w:rPr>
        <w:t xml:space="preserve">Extracting and Structuring Requirements from RFP Documents: A Comparison of Rule-Based and Commercial-LLM Approaches</w:t>
      </w:r>
    </w:p>
    <w:p>
      <w:pPr>
        <w:spacing w:after="280"/>
        <w:jc w:val="center"/>
      </w:pPr>
      <w:r>
        <w:rPr>
          <w:color w:val="888888"/>
          <w:sz w:val="18"/>
          <w:szCs w:val="18"/>
        </w:rPr>
        <w:t xml:space="preserve">초안 v2.2 (2026-07-22) · 투고 대상: 한국정보과학회</w:t>
      </w:r>
    </w:p>
    <w:p>
      <w:pPr>
        <w:pStyle w:val="Heading1"/>
      </w:pPr>
      <w:r>
        <w:t xml:space="preserve">초록</w:t>
      </w:r>
    </w:p>
    <w:p>
      <w:pPr>
        <w:spacing w:after="120"/>
      </w:pPr>
      <w:r>
        <w:t xml:space="preserve">배경. 공공조달 소프트웨어 사업에서 요구사항은 제안요청서(RFP) 본문에 표 형식으로 기술되거나, 별도의 엑셀 양식으로 작성되는 경우가 많다. 이렇게 반정형으로 흩어진 요구사항을 후속 관리가 가능한 구조로 추출·정리하는 작업은 현재 대부분 수작업에 의존한다. 목적. 본 연구는 기존 문서에서 요구사항을 자동으로 잘 추출·구조화할 수 있는가를 다룬다. 요구사항의 작성 내용 품질은 평가하지 않으며, 오직 어떤 텍스트 세그먼트가 추출 대상 요구사항인지를 식별하는 문제에 집중한다. 방법. 요구사항 추출을 (i) 규칙 기반 필터(기존 방식)와 (ii) 상용 LLM 2종(GPT-4o, Claude)으로 각각 수행하고, 세 방법의 판정 일치도와 성능을 검증한다. 다중 도메인 공개 RFP 14건에서 층화 표본 200개 세그먼트를 추출하여 각 방법이 세그먼트를 요구사항으로 판정하는지 대조하였다. 지표는 쌍별 일치율·Cohen's kappa·McNemar 검정, 다수결 합의를 참조표준으로 한 정밀도·재현율·F1에 더하여 정확도·특이도·균형정확도·MCC를 추가로 산정하였다. 결과. 규칙 기반 방식은 정밀도가 높으나(0.91) 재현율이 낮았고(0.73, F1=0.81), 상용 LLM은 규칙이 놓친 요구사항을 회수하여 재현율이 높았다. 편향을 제거한 정답셋 대비 F1은 GPT-4o 0.90(정밀도 0.83·재현율 0.97)으로 가장 균형 잡혔고, Claude는 재현율이 0.99로 가장 높았으나 특이도가 0.47로 낮아 비요구사항을 과다하게 요구사항으로 판정하였다(F1 0.86). LLM 2종 간 일치(κ=0.68)가 규칙-LLM 간 일치(κ=0.22~0.29)보다 높았다. 결론. 상용 LLM은 반정형 RFP에서 규칙 기반 필터가 누락하는 요구사항을 회수하여 추출 재현율을 높이나, 과다추출 경향이 있어 검토가 필요하며, 규칙과 LLM은 상보적이다. 본 연구는 RFP 요구사항의 자동 추출·구조화 도구 설계의 경험적 근거를 제공한다.</w:t>
      </w:r>
    </w:p>
    <w:p>
      <w:pPr>
        <w:spacing w:after="120"/>
      </w:pPr>
      <w:r>
        <w:rPr>
          <w:i/>
          <w:iCs/>
        </w:rPr>
        <w:t xml:space="preserve">주제어: 요구공학, 요구사항 추출, 요구사항 구조화, 공공조달 RFP, 대규모 언어모델</w:t>
      </w:r>
    </w:p>
    <w:p>
      <w:pPr>
        <w:pStyle w:val="Heading1"/>
      </w:pPr>
      <w:r>
        <w:t xml:space="preserve">1. 서론</w:t>
      </w:r>
    </w:p>
    <w:p>
      <w:pPr>
        <w:spacing w:after="120"/>
      </w:pPr>
      <w:r>
        <w:t xml:space="preserve">공공조달 소프트웨어 사업은 제안요청서(Request for Proposal, RFP)로 시작한다. 한국의 RFP에서 기능·성능·제약 요구사항은 RFP 본문에 표 형식으로 포함되는 경우가 있으며, 이 경우 '요구사항 고유번호·명칭·분류·상세설명' 열을 갖는 표로 기술된다. 또한 요구사항을 RFP 본문이 아닌 별도의 엑셀 양식으로 작성·첨부하는 경우도 존재한다. 어느 방식이든, 발주 문서에 반정형으로 흩어진 요구사항을 후속 설계·추적이 가능한 구조로 추출·정리하는 작업이 필요하다.</w:t>
      </w:r>
    </w:p>
    <w:p>
      <w:pPr>
        <w:spacing w:after="120"/>
      </w:pPr>
      <w:r>
        <w:t xml:space="preserve">이러한 추출·구조화는 현재 대부분 분석가의 수작업에 의존한다. 최근 대규모 언어모델(LLM)이 자연어 처리에서 두각을 나타내면서, 문서에서 요구사항을 자동으로 식별·구조화하는 접근이 주목받고 있다. van Can과 Dalpiaz[1]는 애자일 이슈추적시스템의 backlog item에서 요구사항을 위치찾고 분류하는 문제에 LLM을 적용하여, 인코더 계열(BERT·RoBERTa)과 디코더 계열(GPT-4·Llama 3·Mistral)의 추출 성능을 비교하였다.</w:t>
      </w:r>
    </w:p>
    <w:p>
      <w:pPr>
        <w:spacing w:after="120"/>
      </w:pPr>
      <w:r>
        <w:t xml:space="preserve">본 연구의 문제는 다음과 같다: 기존 RFP 문서에서 LLM이 요구사항을 얼마나 잘 추출하여 구조화할 수 있는가? 본 연구는 요구사항의 작성 내용을 평가하지 않는다. 오직 어떤 텍스트 세그먼트가 추출 대상 요구사항인지를 식별하는 추출 과제에 집중하며, 이를 규칙 기반 방식과 상용 LLM으로 각각 수행하여 결과의 일치도를 검증한다. 기여는 다음과 같다.</w:t>
      </w:r>
    </w:p>
    <w:p>
      <w:pPr>
        <w:pStyle w:val="ListParagraph"/>
        <w:numPr>
          <w:ilvl w:val="0"/>
          <w:numId w:val="2"/>
        </w:numPr>
      </w:pPr>
      <w:r>
        <w:t xml:space="preserve">(1) RFP 문서(표 형식 본문·엑셀 양식)로부터 요구사항을 추출하는 과제를 규칙 기반 방식과 상용 LLM 2종으로 각각 수행하고 판정 일치도를 검증</w:t>
      </w:r>
    </w:p>
    <w:p>
      <w:pPr>
        <w:pStyle w:val="ListParagraph"/>
        <w:numPr>
          <w:ilvl w:val="0"/>
          <w:numId w:val="2"/>
        </w:numPr>
      </w:pPr>
      <w:r>
        <w:t xml:space="preserve">(2) 다수결 합의를 참조표준으로 한 각 방식의 정밀도·재현율·F1 및 정확도·특이도·균형정확도·MCC 산정</w:t>
      </w:r>
    </w:p>
    <w:p>
      <w:pPr>
        <w:pStyle w:val="ListParagraph"/>
        <w:numPr>
          <w:ilvl w:val="0"/>
          <w:numId w:val="2"/>
        </w:numPr>
      </w:pPr>
      <w:r>
        <w:t xml:space="preserve">(3) 규칙 기반 추출과 상용 LLM 추출의 상보성 규명 — 규칙은 고정밀·저재현, LLM은 고재현</w:t>
      </w:r>
    </w:p>
    <w:p>
      <w:pPr>
        <w:pStyle w:val="Heading1"/>
      </w:pPr>
      <w:r>
        <w:t xml:space="preserve">2. 연구 질문</w:t>
      </w:r>
    </w:p>
    <w:p>
      <w:pPr>
        <w:pStyle w:val="ListParagraph"/>
        <w:numPr>
          <w:ilvl w:val="0"/>
          <w:numId w:val="2"/>
        </w:numPr>
      </w:pPr>
      <w:r>
        <w:t xml:space="preserve">RQ1 상용 LLM은 RFP 문서에서 요구사항을 규칙 기반 방식과 얼마나 일치하게 추출하는가?</w:t>
      </w:r>
    </w:p>
    <w:p>
      <w:pPr>
        <w:pStyle w:val="ListParagraph"/>
        <w:numPr>
          <w:ilvl w:val="0"/>
          <w:numId w:val="2"/>
        </w:numPr>
      </w:pPr>
      <w:r>
        <w:t xml:space="preserve">RQ2 다수결 합의를 기준으로 각 방식의 추출 성능(정밀도·재현율·F1 등)은 어떠한가?</w:t>
      </w:r>
    </w:p>
    <w:p>
      <w:pPr>
        <w:pStyle w:val="ListParagraph"/>
        <w:numPr>
          <w:ilvl w:val="0"/>
          <w:numId w:val="2"/>
        </w:numPr>
      </w:pPr>
      <w:r>
        <w:t xml:space="preserve">RQ3 규칙과 LLM, 그리고 LLM 2종 간 판정은 어떤 구조로 일치·발산하는가?</w:t>
      </w:r>
    </w:p>
    <w:p>
      <w:pPr>
        <w:pStyle w:val="Heading1"/>
      </w:pPr>
      <w:r>
        <w:t xml:space="preserve">3. 연구 방법</w:t>
      </w:r>
    </w:p>
    <w:p>
      <w:pPr>
        <w:pStyle w:val="Heading2"/>
      </w:pPr>
      <w:r>
        <w:t xml:space="preserve">3.1 과제 정의</w:t>
      </w:r>
    </w:p>
    <w:p>
      <w:pPr>
        <w:spacing w:after="120"/>
      </w:pPr>
      <w:r>
        <w:t xml:space="preserve">추출 과제는 이진 식별로 정식화한다: RFP 텍스트 세그먼트가 '구조화 가능한 시스템 요구사항(기능·성능·인터페이스·제약)'인가(1), 아니면 사업 개요·일정·입찰 안내·평가 기준·기관 정보·목차·제출 서식·일반 관리 조항인가(0). 요구사항으로 식별된 세그먼트에 대해서는 주체·동작·대상의 구조화 필드도 함께 추출한다. 요구사항의 작성 품질(모호성·완전성 등)은 본 연구의 평가 대상이 아니다.</w:t>
      </w:r>
    </w:p>
    <w:p>
      <w:pPr>
        <w:pStyle w:val="Heading2"/>
      </w:pPr>
      <w:r>
        <w:t xml:space="preserve">3.2 데이터</w:t>
      </w:r>
    </w:p>
    <w:p>
      <w:pPr>
        <w:spacing w:after="120"/>
      </w:pPr>
      <w:r>
        <w:t xml:space="preserve">다중 도메인 공개 RFP 14건(보건의료·법무·식약·교육·U-City·DB구축·조달 등)을 사용한다. 6개 포맷(HWP·PDF·XLSX·HTML·DOCX·RTF) 추출과 세그먼트 분할로 10,899개 문장 후보를 생성하였다. 이 중 규칙 필터 통과 세그먼트(요구사항 후보)와 미통과 세그먼트를 각각 100건씩 층화 무작위 추출하여(seed=42) 200개 평가 표본을 구성하였다. 표에 실린 요구사항(요구사항 고유번호 SFR-·PSR- 등을 갖는 항목)과 표 밖 서술이 모두 포함된다.</w:t>
      </w:r>
    </w:p>
    <w:p>
      <w:pPr>
        <w:pStyle w:val="Heading2"/>
      </w:pPr>
      <w:r>
        <w:t xml:space="preserve">3.3 추출 방법</w:t>
      </w:r>
    </w:p>
    <w:p>
      <w:pPr>
        <w:spacing w:after="120"/>
      </w:pPr>
      <w:r>
        <w:t xml:space="preserve">규칙 기반 방식(기존): 7종 의무 종결형('~여야 한다/함/됨/할 수 있어야/반드시/필수/~토록 한다')을 포함하는 문장을 요구사항 후보로 선별하고, 6개 노이즈 범주(사이트 푸터, 입찰·조달 표준 문구, 메타데이터 시작, 글머리 단편, 평가 기준, 약관)를 배제한다. 상용 LLM 방식: GPT-4o와 Claude(Sonnet 4.5) 두 모델 모두 각 사의 API를 통해 temperature=0으로 동일한 판정 정의 프롬프트를 제공하여, 세그먼트별로 요구사항 여부와 구조화 필드(주체·동작·대상)를 JSON으로 출력하게 하였다. 참고 연구[1]가 인코더-디코더 계열을 비교한 것과 달리, 본 연구는 자원 제약과 실무 적용성을 고려하여 규칙 기반 방식과 상용 디코더 LLM을 대조한다.</w:t>
      </w:r>
    </w:p>
    <w:p>
      <w:pPr>
        <w:pStyle w:val="Heading2"/>
      </w:pPr>
      <w:r>
        <w:t xml:space="preserve">3.4 지표</w:t>
      </w:r>
    </w:p>
    <w:p>
      <w:pPr>
        <w:spacing w:after="120"/>
      </w:pPr>
      <w:r>
        <w:t xml:space="preserve">쌍별 일치율, Cohen's kappa, 정확 McNemar 검정으로 세 방법의 일치도를 측정한다. 세 방법의 다수결(2/3 이상) 합의를 참조표준으로 삼아 각 방법의 정밀도·재현율·F1·정확도·특이도·균형정확도·MCC(Matthews 상관계수)를 산정한다. 참고 연구[1]가 정밀도·재현율·F1을 사용한 것에 더하여, 클래스 불균형에 강건한 MCC와 특이도·균형정확도를 추가 지표로 도입한다.</w:t>
      </w:r>
    </w:p>
    <w:p>
      <w:pPr>
        <w:pStyle w:val="Heading1"/>
      </w:pPr>
      <w:r>
        <w:t xml:space="preserve">4. 실험 결과</w:t>
      </w:r>
    </w:p>
    <w:p>
      <w:pPr>
        <w:pStyle w:val="Heading2"/>
      </w:pPr>
      <w:r>
        <w:t xml:space="preserve">4.1 판정 분포</w:t>
      </w:r>
    </w:p>
    <w:p>
      <w:pPr>
        <w:spacing w:after="120"/>
      </w:pPr>
      <w:r>
        <w:t xml:space="preserve">200개 세그먼트에 대해 규칙은 100건, GPT-4o는 145건, Claude는 164건을 요구사항으로 판정하였고, 다수결 합의는 149건이었다. 규칙 기반 방식이 가장 보수적으로 판정하였고, Claude가 가장 관대하였다. 세 방법이 만장일치한 세그먼트는 114건(57.0%)이었다.</w:t>
      </w:r>
    </w:p>
    <w:p>
      <w:pPr>
        <w:pStyle w:val="Heading2"/>
      </w:pPr>
      <w:r>
        <w:t xml:space="preserve">4.2 RQ1·RQ3: 쌍별 일치</w:t>
      </w:r>
    </w:p>
    <w:tbl>
      <w:tblPr>
        <w:tblW w:type="dxa" w:w="87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500"/>
        <w:gridCol w:w="3226"/>
      </w:tblGrid>
      <w:tr>
        <w:tc>
          <w:tcPr>
            <w:tcW w:type="dxa" w:w="2400"/>
            <w:tcBorders>
              <w:top w:val="single" w:color="999999" w:sz="1"/>
              <w:left w:val="single" w:color="999999" w:sz="1"/>
              <w:bottom w:val="single" w:color="999999" w:sz="1"/>
              <w:right w:val="single" w:color="999999" w:sz="1"/>
            </w:tcBorders>
            <w:shd w:fill="DDE7F0" w:val="clear"/>
            <w:tcMar>
              <w:top w:type="dxa" w:w="50"/>
              <w:left w:type="dxa" w:w="90"/>
              <w:bottom w:type="dxa" w:w="50"/>
              <w:right w:type="dxa" w:w="90"/>
            </w:tcMar>
          </w:tcPr>
          <w:p>
            <w:r>
              <w:rPr>
                <w:b/>
                <w:bCs/>
                <w:sz w:val="17"/>
                <w:szCs w:val="17"/>
              </w:rPr>
              <w:t xml:space="preserve">방법 쌍</w:t>
            </w:r>
          </w:p>
        </w:tc>
        <w:tc>
          <w:tcPr>
            <w:tcW w:type="dxa" w:w="1600"/>
            <w:tcBorders>
              <w:top w:val="single" w:color="999999" w:sz="1"/>
              <w:left w:val="single" w:color="999999" w:sz="1"/>
              <w:bottom w:val="single" w:color="999999" w:sz="1"/>
              <w:right w:val="single" w:color="999999" w:sz="1"/>
            </w:tcBorders>
            <w:shd w:fill="DDE7F0" w:val="clear"/>
            <w:tcMar>
              <w:top w:type="dxa" w:w="50"/>
              <w:left w:type="dxa" w:w="90"/>
              <w:bottom w:type="dxa" w:w="50"/>
              <w:right w:type="dxa" w:w="90"/>
            </w:tcMar>
          </w:tcPr>
          <w:p>
            <w:r>
              <w:rPr>
                <w:b/>
                <w:bCs/>
                <w:sz w:val="17"/>
                <w:szCs w:val="17"/>
              </w:rPr>
              <w:t xml:space="preserve">일치율</w:t>
            </w:r>
          </w:p>
        </w:tc>
        <w:tc>
          <w:tcPr>
            <w:tcW w:type="dxa" w:w="1500"/>
            <w:tcBorders>
              <w:top w:val="single" w:color="999999" w:sz="1"/>
              <w:left w:val="single" w:color="999999" w:sz="1"/>
              <w:bottom w:val="single" w:color="999999" w:sz="1"/>
              <w:right w:val="single" w:color="999999" w:sz="1"/>
            </w:tcBorders>
            <w:shd w:fill="DDE7F0" w:val="clear"/>
            <w:tcMar>
              <w:top w:type="dxa" w:w="50"/>
              <w:left w:type="dxa" w:w="90"/>
              <w:bottom w:type="dxa" w:w="50"/>
              <w:right w:type="dxa" w:w="90"/>
            </w:tcMar>
          </w:tcPr>
          <w:p>
            <w:r>
              <w:rPr>
                <w:b/>
                <w:bCs/>
                <w:sz w:val="17"/>
                <w:szCs w:val="17"/>
              </w:rPr>
              <w:t xml:space="preserve">Cohen κ</w:t>
            </w:r>
          </w:p>
        </w:tc>
        <w:tc>
          <w:tcPr>
            <w:tcW w:type="dxa" w:w="3226"/>
            <w:tcBorders>
              <w:top w:val="single" w:color="999999" w:sz="1"/>
              <w:left w:val="single" w:color="999999" w:sz="1"/>
              <w:bottom w:val="single" w:color="999999" w:sz="1"/>
              <w:right w:val="single" w:color="999999" w:sz="1"/>
            </w:tcBorders>
            <w:shd w:fill="DDE7F0" w:val="clear"/>
            <w:tcMar>
              <w:top w:type="dxa" w:w="50"/>
              <w:left w:type="dxa" w:w="90"/>
              <w:bottom w:type="dxa" w:w="50"/>
              <w:right w:type="dxa" w:w="90"/>
            </w:tcMar>
          </w:tcPr>
          <w:p>
            <w:r>
              <w:rPr>
                <w:b/>
                <w:bCs/>
                <w:sz w:val="17"/>
                <w:szCs w:val="17"/>
              </w:rPr>
              <w:t xml:space="preserve">McNemar p</w:t>
            </w:r>
          </w:p>
        </w:tc>
      </w:tr>
      <w:tr>
        <w:tc>
          <w:tcPr>
            <w:tcW w:type="dxa" w:w="24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규칙 ↔ GPT-4o</w:t>
            </w:r>
          </w:p>
        </w:tc>
        <w:tc>
          <w:tcPr>
            <w:tcW w:type="dxa" w:w="16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64.5%</w:t>
            </w:r>
          </w:p>
        </w:tc>
        <w:tc>
          <w:tcPr>
            <w:tcW w:type="dxa" w:w="15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0.290</w:t>
            </w:r>
          </w:p>
        </w:tc>
        <w:tc>
          <w:tcPr>
            <w:tcW w:type="dxa" w:w="3226"/>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&lt;0.001</w:t>
            </w:r>
          </w:p>
        </w:tc>
      </w:tr>
      <w:tr>
        <w:tc>
          <w:tcPr>
            <w:tcW w:type="dxa" w:w="24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규칙 ↔ Claude</w:t>
            </w:r>
          </w:p>
        </w:tc>
        <w:tc>
          <w:tcPr>
            <w:tcW w:type="dxa" w:w="16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61.0%</w:t>
            </w:r>
          </w:p>
        </w:tc>
        <w:tc>
          <w:tcPr>
            <w:tcW w:type="dxa" w:w="15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0.220</w:t>
            </w:r>
          </w:p>
        </w:tc>
        <w:tc>
          <w:tcPr>
            <w:tcW w:type="dxa" w:w="3226"/>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&lt;0.001</w:t>
            </w:r>
          </w:p>
        </w:tc>
      </w:tr>
      <w:tr>
        <w:tc>
          <w:tcPr>
            <w:tcW w:type="dxa" w:w="24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GPT-4o ↔ Claude</w:t>
            </w:r>
          </w:p>
        </w:tc>
        <w:tc>
          <w:tcPr>
            <w:tcW w:type="dxa" w:w="16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88.5%</w:t>
            </w:r>
          </w:p>
        </w:tc>
        <w:tc>
          <w:tcPr>
            <w:tcW w:type="dxa" w:w="15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0.677</w:t>
            </w:r>
          </w:p>
        </w:tc>
        <w:tc>
          <w:tcPr>
            <w:tcW w:type="dxa" w:w="3226"/>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&lt;0.001</w:t>
            </w:r>
          </w:p>
        </w:tc>
      </w:tr>
    </w:tbl>
    <w:p>
      <w:pPr>
        <w:spacing w:after="180" w:before="40"/>
        <w:jc w:val="center"/>
      </w:pPr>
      <w:r>
        <w:rPr>
          <w:i/>
          <w:iCs/>
          <w:color w:val="555555"/>
          <w:sz w:val="18"/>
          <w:szCs w:val="18"/>
        </w:rPr>
        <w:t xml:space="preserve">표 1. 세 추출 방법의 쌍별 일치도 (n=200)</w:t>
      </w:r>
    </w:p>
    <w:p>
      <w:pPr>
        <w:spacing w:after="120"/>
      </w:pPr>
      <w:r>
        <w:t xml:space="preserve">LLM 2종 간 일치(κ=0.677)가 규칙-LLM 간 일치(κ=0.22~0.29)보다 뚜렷이 높았다. 이는 두 상용 LLM이 규칙 기반 필터와는 다른, 서로 공유하는 요구사항 판정 기준을 갖고 있음을 시사한다. McNemar 검정에서 규칙-LLM 쌍의 불일치는 유의하게 비대칭이었으며(p&lt;0.001), LLM이 규칙보다 더 많은 세그먼트를 요구사항으로 판정하는 방향이었다.</w:t>
      </w:r>
    </w:p>
    <w:p>
      <w:pPr>
        <w:pStyle w:val="Heading2"/>
      </w:pPr>
      <w:r>
        <w:t xml:space="preserve">4.3 RQ2: 다수결 합의 대비 성능</w:t>
      </w:r>
    </w:p>
    <w:tbl>
      <w:tblPr>
        <w:tblW w:type="dxa" w:w="8226"/>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1100"/>
        <w:gridCol w:w="1000"/>
        <w:gridCol w:w="1100"/>
        <w:gridCol w:w="1100"/>
        <w:gridCol w:w="1026"/>
      </w:tblGrid>
      <w:tr>
        <w:tc>
          <w:tcPr>
            <w:tcW w:type="dxa" w:w="1700"/>
            <w:tcBorders>
              <w:top w:val="single" w:color="999999" w:sz="1"/>
              <w:left w:val="single" w:color="999999" w:sz="1"/>
              <w:bottom w:val="single" w:color="999999" w:sz="1"/>
              <w:right w:val="single" w:color="999999" w:sz="1"/>
            </w:tcBorders>
            <w:shd w:fill="DDE7F0" w:val="clear"/>
            <w:tcMar>
              <w:top w:type="dxa" w:w="50"/>
              <w:left w:type="dxa" w:w="90"/>
              <w:bottom w:type="dxa" w:w="50"/>
              <w:right w:type="dxa" w:w="90"/>
            </w:tcMar>
          </w:tcPr>
          <w:p>
            <w:r>
              <w:rPr>
                <w:b/>
                <w:bCs/>
                <w:sz w:val="17"/>
                <w:szCs w:val="17"/>
              </w:rPr>
              <w:t xml:space="preserve">방법</w:t>
            </w:r>
          </w:p>
        </w:tc>
        <w:tc>
          <w:tcPr>
            <w:tcW w:type="dxa" w:w="1200"/>
            <w:tcBorders>
              <w:top w:val="single" w:color="999999" w:sz="1"/>
              <w:left w:val="single" w:color="999999" w:sz="1"/>
              <w:bottom w:val="single" w:color="999999" w:sz="1"/>
              <w:right w:val="single" w:color="999999" w:sz="1"/>
            </w:tcBorders>
            <w:shd w:fill="DDE7F0" w:val="clear"/>
            <w:tcMar>
              <w:top w:type="dxa" w:w="50"/>
              <w:left w:type="dxa" w:w="90"/>
              <w:bottom w:type="dxa" w:w="50"/>
              <w:right w:type="dxa" w:w="90"/>
            </w:tcMar>
          </w:tcPr>
          <w:p>
            <w:r>
              <w:rPr>
                <w:b/>
                <w:bCs/>
                <w:sz w:val="17"/>
                <w:szCs w:val="17"/>
              </w:rPr>
              <w:t xml:space="preserve">정밀도</w:t>
            </w:r>
          </w:p>
        </w:tc>
        <w:tc>
          <w:tcPr>
            <w:tcW w:type="dxa" w:w="1100"/>
            <w:tcBorders>
              <w:top w:val="single" w:color="999999" w:sz="1"/>
              <w:left w:val="single" w:color="999999" w:sz="1"/>
              <w:bottom w:val="single" w:color="999999" w:sz="1"/>
              <w:right w:val="single" w:color="999999" w:sz="1"/>
            </w:tcBorders>
            <w:shd w:fill="DDE7F0" w:val="clear"/>
            <w:tcMar>
              <w:top w:type="dxa" w:w="50"/>
              <w:left w:type="dxa" w:w="90"/>
              <w:bottom w:type="dxa" w:w="50"/>
              <w:right w:type="dxa" w:w="90"/>
            </w:tcMar>
          </w:tcPr>
          <w:p>
            <w:r>
              <w:rPr>
                <w:b/>
                <w:bCs/>
                <w:sz w:val="17"/>
                <w:szCs w:val="17"/>
              </w:rPr>
              <w:t xml:space="preserve">재현율</w:t>
            </w:r>
          </w:p>
        </w:tc>
        <w:tc>
          <w:tcPr>
            <w:tcW w:type="dxa" w:w="1000"/>
            <w:tcBorders>
              <w:top w:val="single" w:color="999999" w:sz="1"/>
              <w:left w:val="single" w:color="999999" w:sz="1"/>
              <w:bottom w:val="single" w:color="999999" w:sz="1"/>
              <w:right w:val="single" w:color="999999" w:sz="1"/>
            </w:tcBorders>
            <w:shd w:fill="DDE7F0" w:val="clear"/>
            <w:tcMar>
              <w:top w:type="dxa" w:w="50"/>
              <w:left w:type="dxa" w:w="90"/>
              <w:bottom w:type="dxa" w:w="50"/>
              <w:right w:type="dxa" w:w="90"/>
            </w:tcMar>
          </w:tcPr>
          <w:p>
            <w:r>
              <w:rPr>
                <w:b/>
                <w:bCs/>
                <w:sz w:val="17"/>
                <w:szCs w:val="17"/>
              </w:rPr>
              <w:t xml:space="preserve">F1</w:t>
            </w:r>
          </w:p>
        </w:tc>
        <w:tc>
          <w:tcPr>
            <w:tcW w:type="dxa" w:w="1100"/>
            <w:tcBorders>
              <w:top w:val="single" w:color="999999" w:sz="1"/>
              <w:left w:val="single" w:color="999999" w:sz="1"/>
              <w:bottom w:val="single" w:color="999999" w:sz="1"/>
              <w:right w:val="single" w:color="999999" w:sz="1"/>
            </w:tcBorders>
            <w:shd w:fill="DDE7F0" w:val="clear"/>
            <w:tcMar>
              <w:top w:type="dxa" w:w="50"/>
              <w:left w:type="dxa" w:w="90"/>
              <w:bottom w:type="dxa" w:w="50"/>
              <w:right w:type="dxa" w:w="90"/>
            </w:tcMar>
          </w:tcPr>
          <w:p>
            <w:r>
              <w:rPr>
                <w:b/>
                <w:bCs/>
                <w:sz w:val="17"/>
                <w:szCs w:val="17"/>
              </w:rPr>
              <w:t xml:space="preserve">특이도</w:t>
            </w:r>
          </w:p>
        </w:tc>
        <w:tc>
          <w:tcPr>
            <w:tcW w:type="dxa" w:w="1100"/>
            <w:tcBorders>
              <w:top w:val="single" w:color="999999" w:sz="1"/>
              <w:left w:val="single" w:color="999999" w:sz="1"/>
              <w:bottom w:val="single" w:color="999999" w:sz="1"/>
              <w:right w:val="single" w:color="999999" w:sz="1"/>
            </w:tcBorders>
            <w:shd w:fill="DDE7F0" w:val="clear"/>
            <w:tcMar>
              <w:top w:type="dxa" w:w="50"/>
              <w:left w:type="dxa" w:w="90"/>
              <w:bottom w:type="dxa" w:w="50"/>
              <w:right w:type="dxa" w:w="90"/>
            </w:tcMar>
          </w:tcPr>
          <w:p>
            <w:r>
              <w:rPr>
                <w:b/>
                <w:bCs/>
                <w:sz w:val="17"/>
                <w:szCs w:val="17"/>
              </w:rPr>
              <w:t xml:space="preserve">균형정확도</w:t>
            </w:r>
          </w:p>
        </w:tc>
        <w:tc>
          <w:tcPr>
            <w:tcW w:type="dxa" w:w="1026"/>
            <w:tcBorders>
              <w:top w:val="single" w:color="999999" w:sz="1"/>
              <w:left w:val="single" w:color="999999" w:sz="1"/>
              <w:bottom w:val="single" w:color="999999" w:sz="1"/>
              <w:right w:val="single" w:color="999999" w:sz="1"/>
            </w:tcBorders>
            <w:shd w:fill="DDE7F0" w:val="clear"/>
            <w:tcMar>
              <w:top w:type="dxa" w:w="50"/>
              <w:left w:type="dxa" w:w="90"/>
              <w:bottom w:type="dxa" w:w="50"/>
              <w:right w:type="dxa" w:w="90"/>
            </w:tcMar>
          </w:tcPr>
          <w:p>
            <w:r>
              <w:rPr>
                <w:b/>
                <w:bCs/>
                <w:sz w:val="17"/>
                <w:szCs w:val="17"/>
              </w:rPr>
              <w:t xml:space="preserve">MCC</w:t>
            </w:r>
          </w:p>
        </w:tc>
      </w:tr>
      <w:tr>
        <w:tc>
          <w:tcPr>
            <w:tcW w:type="dxa" w:w="17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규칙</w:t>
            </w:r>
          </w:p>
        </w:tc>
        <w:tc>
          <w:tcPr>
            <w:tcW w:type="dxa" w:w="12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0.93</w:t>
            </w:r>
          </w:p>
        </w:tc>
        <w:tc>
          <w:tcPr>
            <w:tcW w:type="dxa" w:w="11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0.62</w:t>
            </w:r>
          </w:p>
        </w:tc>
        <w:tc>
          <w:tcPr>
            <w:tcW w:type="dxa" w:w="10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0.75</w:t>
            </w:r>
          </w:p>
        </w:tc>
        <w:tc>
          <w:tcPr>
            <w:tcW w:type="dxa" w:w="11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0.86</w:t>
            </w:r>
          </w:p>
        </w:tc>
        <w:tc>
          <w:tcPr>
            <w:tcW w:type="dxa" w:w="11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0.74</w:t>
            </w:r>
          </w:p>
        </w:tc>
        <w:tc>
          <w:tcPr>
            <w:tcW w:type="dxa" w:w="1026"/>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0.42</w:t>
            </w:r>
          </w:p>
        </w:tc>
      </w:tr>
      <w:tr>
        <w:tc>
          <w:tcPr>
            <w:tcW w:type="dxa" w:w="17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GPT-4o</w:t>
            </w:r>
          </w:p>
        </w:tc>
        <w:tc>
          <w:tcPr>
            <w:tcW w:type="dxa" w:w="12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0.99</w:t>
            </w:r>
          </w:p>
        </w:tc>
        <w:tc>
          <w:tcPr>
            <w:tcW w:type="dxa" w:w="11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0.96</w:t>
            </w:r>
          </w:p>
        </w:tc>
        <w:tc>
          <w:tcPr>
            <w:tcW w:type="dxa" w:w="10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0.97</w:t>
            </w:r>
          </w:p>
        </w:tc>
        <w:tc>
          <w:tcPr>
            <w:tcW w:type="dxa" w:w="11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0.96</w:t>
            </w:r>
          </w:p>
        </w:tc>
        <w:tc>
          <w:tcPr>
            <w:tcW w:type="dxa" w:w="11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0.96</w:t>
            </w:r>
          </w:p>
        </w:tc>
        <w:tc>
          <w:tcPr>
            <w:tcW w:type="dxa" w:w="1026"/>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0.90</w:t>
            </w:r>
          </w:p>
        </w:tc>
      </w:tr>
      <w:tr>
        <w:tc>
          <w:tcPr>
            <w:tcW w:type="dxa" w:w="17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Claude</w:t>
            </w:r>
          </w:p>
        </w:tc>
        <w:tc>
          <w:tcPr>
            <w:tcW w:type="dxa" w:w="12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0.91</w:t>
            </w:r>
          </w:p>
        </w:tc>
        <w:tc>
          <w:tcPr>
            <w:tcW w:type="dxa" w:w="11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1.00</w:t>
            </w:r>
          </w:p>
        </w:tc>
        <w:tc>
          <w:tcPr>
            <w:tcW w:type="dxa" w:w="10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0.95</w:t>
            </w:r>
          </w:p>
        </w:tc>
        <w:tc>
          <w:tcPr>
            <w:tcW w:type="dxa" w:w="11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0.71</w:t>
            </w:r>
          </w:p>
        </w:tc>
        <w:tc>
          <w:tcPr>
            <w:tcW w:type="dxa" w:w="11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0.85</w:t>
            </w:r>
          </w:p>
        </w:tc>
        <w:tc>
          <w:tcPr>
            <w:tcW w:type="dxa" w:w="1026"/>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0.80</w:t>
            </w:r>
          </w:p>
        </w:tc>
      </w:tr>
    </w:tbl>
    <w:p>
      <w:pPr>
        <w:spacing w:after="180" w:before="40"/>
        <w:jc w:val="center"/>
      </w:pPr>
      <w:r>
        <w:rPr>
          <w:i/>
          <w:iCs/>
          <w:color w:val="555555"/>
          <w:sz w:val="18"/>
          <w:szCs w:val="18"/>
        </w:rPr>
        <w:t xml:space="preserve">표 2. 다수결 합의를 참조표준으로 한 추출 성능 (n=200)</w:t>
      </w:r>
    </w:p>
    <w:p>
      <w:pPr>
        <w:spacing w:after="120"/>
      </w:pPr>
      <w:r>
        <w:t xml:space="preserve">규칙 기반 방식은 정밀도가 높으나(0.93) 재현율이 낮았다(0.62). 즉 규칙이 요구사항으로 판정한 것은 대부분 실제 요구사항이지만, 표에 실린 요구사항 중 의무 종결형을 갖지 않는 서술형·명사구 항목을 다수 놓쳤다. GPT-4o는 이러한 항목을 회수하면서도 정밀도를 유지하여 F1 0.97·MCC 0.90으로 가장 균형 잡힌 성능을 보였다. Claude는 재현율이 1.00으로 가장 높았으나 특이도가 0.71로 낮아, 비요구사항 일부를 요구사항으로 과다 판정하는 경향을 보였다. 다수결 자체에 두 LLM이 함께 기여하므로(κ=0.68) 이 참조표준은 LLM에 유리한 편향을 가지며, 이를 4.4절에서 보정한다.</w:t>
      </w:r>
    </w:p>
    <w:p>
      <w:pPr>
        <w:spacing w:after="120"/>
      </w:pPr>
      <w:r>
        <w:rPr>
          <w:b/>
          <w:bCs/>
        </w:rPr>
        <w:t xml:space="preserve">발견: 규칙 기반 추출은 고정밀·저재현(정밀도 0.93, 재현율 0.62)으로 요구사항 후보를 보수적으로 선별하는 반면, 상용 LLM은 규칙이 놓친 표 형식 요구사항을 회수하여 재현율을 크게 높인다(Claude 1.00, GPT-4o 0.96). 두 방식은 상보적이며, 규칙으로 1차 선별 후 LLM으로 누락분을 회수하는 하이브리드 추출이 합리적이다.</w:t>
      </w:r>
    </w:p>
    <w:p>
      <w:pPr>
        <w:pStyle w:val="Heading2"/>
      </w:pPr>
      <w:r>
        <w:t xml:space="preserve">4.4 편향을 제거한 정답셋 평가</w:t>
      </w:r>
    </w:p>
    <w:p>
      <w:pPr>
        <w:spacing w:after="120"/>
      </w:pPr>
      <w:r>
        <w:t xml:space="preserve">다수결 참조표준은 두 LLM이 함께 형성에 기여하여 LLM에 유리하게 편향된다. 이를 완화하기 위해, 규칙과 GPT-4o가 일치한 세그먼트(129건)는 두 독립 방법의 합의를 정답으로 채택하고(두 LLM 중 GPT만 관여, Claude 완전 무관), 두 방법이 불일치한 세그먼트(71건)만 사전 정의한 엄격 기준으로 재판정하여 정답셋을 구성하였다(양성 125건).</w:t>
      </w:r>
    </w:p>
    <w:tbl>
      <w:tblPr>
        <w:tblW w:type="dxa" w:w="8226"/>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1100"/>
        <w:gridCol w:w="1000"/>
        <w:gridCol w:w="1100"/>
        <w:gridCol w:w="1100"/>
        <w:gridCol w:w="1026"/>
      </w:tblGrid>
      <w:tr>
        <w:tc>
          <w:tcPr>
            <w:tcW w:type="dxa" w:w="1700"/>
            <w:tcBorders>
              <w:top w:val="single" w:color="999999" w:sz="1"/>
              <w:left w:val="single" w:color="999999" w:sz="1"/>
              <w:bottom w:val="single" w:color="999999" w:sz="1"/>
              <w:right w:val="single" w:color="999999" w:sz="1"/>
            </w:tcBorders>
            <w:shd w:fill="DDE7F0" w:val="clear"/>
            <w:tcMar>
              <w:top w:type="dxa" w:w="50"/>
              <w:left w:type="dxa" w:w="90"/>
              <w:bottom w:type="dxa" w:w="50"/>
              <w:right w:type="dxa" w:w="90"/>
            </w:tcMar>
          </w:tcPr>
          <w:p>
            <w:r>
              <w:rPr>
                <w:b/>
                <w:bCs/>
                <w:sz w:val="17"/>
                <w:szCs w:val="17"/>
              </w:rPr>
              <w:t xml:space="preserve">방법</w:t>
            </w:r>
          </w:p>
        </w:tc>
        <w:tc>
          <w:tcPr>
            <w:tcW w:type="dxa" w:w="1200"/>
            <w:tcBorders>
              <w:top w:val="single" w:color="999999" w:sz="1"/>
              <w:left w:val="single" w:color="999999" w:sz="1"/>
              <w:bottom w:val="single" w:color="999999" w:sz="1"/>
              <w:right w:val="single" w:color="999999" w:sz="1"/>
            </w:tcBorders>
            <w:shd w:fill="DDE7F0" w:val="clear"/>
            <w:tcMar>
              <w:top w:type="dxa" w:w="50"/>
              <w:left w:type="dxa" w:w="90"/>
              <w:bottom w:type="dxa" w:w="50"/>
              <w:right w:type="dxa" w:w="90"/>
            </w:tcMar>
          </w:tcPr>
          <w:p>
            <w:r>
              <w:rPr>
                <w:b/>
                <w:bCs/>
                <w:sz w:val="17"/>
                <w:szCs w:val="17"/>
              </w:rPr>
              <w:t xml:space="preserve">정밀도</w:t>
            </w:r>
          </w:p>
        </w:tc>
        <w:tc>
          <w:tcPr>
            <w:tcW w:type="dxa" w:w="1100"/>
            <w:tcBorders>
              <w:top w:val="single" w:color="999999" w:sz="1"/>
              <w:left w:val="single" w:color="999999" w:sz="1"/>
              <w:bottom w:val="single" w:color="999999" w:sz="1"/>
              <w:right w:val="single" w:color="999999" w:sz="1"/>
            </w:tcBorders>
            <w:shd w:fill="DDE7F0" w:val="clear"/>
            <w:tcMar>
              <w:top w:type="dxa" w:w="50"/>
              <w:left w:type="dxa" w:w="90"/>
              <w:bottom w:type="dxa" w:w="50"/>
              <w:right w:type="dxa" w:w="90"/>
            </w:tcMar>
          </w:tcPr>
          <w:p>
            <w:r>
              <w:rPr>
                <w:b/>
                <w:bCs/>
                <w:sz w:val="17"/>
                <w:szCs w:val="17"/>
              </w:rPr>
              <w:t xml:space="preserve">재현율</w:t>
            </w:r>
          </w:p>
        </w:tc>
        <w:tc>
          <w:tcPr>
            <w:tcW w:type="dxa" w:w="1000"/>
            <w:tcBorders>
              <w:top w:val="single" w:color="999999" w:sz="1"/>
              <w:left w:val="single" w:color="999999" w:sz="1"/>
              <w:bottom w:val="single" w:color="999999" w:sz="1"/>
              <w:right w:val="single" w:color="999999" w:sz="1"/>
            </w:tcBorders>
            <w:shd w:fill="DDE7F0" w:val="clear"/>
            <w:tcMar>
              <w:top w:type="dxa" w:w="50"/>
              <w:left w:type="dxa" w:w="90"/>
              <w:bottom w:type="dxa" w:w="50"/>
              <w:right w:type="dxa" w:w="90"/>
            </w:tcMar>
          </w:tcPr>
          <w:p>
            <w:r>
              <w:rPr>
                <w:b/>
                <w:bCs/>
                <w:sz w:val="17"/>
                <w:szCs w:val="17"/>
              </w:rPr>
              <w:t xml:space="preserve">F1</w:t>
            </w:r>
          </w:p>
        </w:tc>
        <w:tc>
          <w:tcPr>
            <w:tcW w:type="dxa" w:w="1100"/>
            <w:tcBorders>
              <w:top w:val="single" w:color="999999" w:sz="1"/>
              <w:left w:val="single" w:color="999999" w:sz="1"/>
              <w:bottom w:val="single" w:color="999999" w:sz="1"/>
              <w:right w:val="single" w:color="999999" w:sz="1"/>
            </w:tcBorders>
            <w:shd w:fill="DDE7F0" w:val="clear"/>
            <w:tcMar>
              <w:top w:type="dxa" w:w="50"/>
              <w:left w:type="dxa" w:w="90"/>
              <w:bottom w:type="dxa" w:w="50"/>
              <w:right w:type="dxa" w:w="90"/>
            </w:tcMar>
          </w:tcPr>
          <w:p>
            <w:r>
              <w:rPr>
                <w:b/>
                <w:bCs/>
                <w:sz w:val="17"/>
                <w:szCs w:val="17"/>
              </w:rPr>
              <w:t xml:space="preserve">특이도</w:t>
            </w:r>
          </w:p>
        </w:tc>
        <w:tc>
          <w:tcPr>
            <w:tcW w:type="dxa" w:w="1100"/>
            <w:tcBorders>
              <w:top w:val="single" w:color="999999" w:sz="1"/>
              <w:left w:val="single" w:color="999999" w:sz="1"/>
              <w:bottom w:val="single" w:color="999999" w:sz="1"/>
              <w:right w:val="single" w:color="999999" w:sz="1"/>
            </w:tcBorders>
            <w:shd w:fill="DDE7F0" w:val="clear"/>
            <w:tcMar>
              <w:top w:type="dxa" w:w="50"/>
              <w:left w:type="dxa" w:w="90"/>
              <w:bottom w:type="dxa" w:w="50"/>
              <w:right w:type="dxa" w:w="90"/>
            </w:tcMar>
          </w:tcPr>
          <w:p>
            <w:r>
              <w:rPr>
                <w:b/>
                <w:bCs/>
                <w:sz w:val="17"/>
                <w:szCs w:val="17"/>
              </w:rPr>
              <w:t xml:space="preserve">균형정확도</w:t>
            </w:r>
          </w:p>
        </w:tc>
        <w:tc>
          <w:tcPr>
            <w:tcW w:type="dxa" w:w="1026"/>
            <w:tcBorders>
              <w:top w:val="single" w:color="999999" w:sz="1"/>
              <w:left w:val="single" w:color="999999" w:sz="1"/>
              <w:bottom w:val="single" w:color="999999" w:sz="1"/>
              <w:right w:val="single" w:color="999999" w:sz="1"/>
            </w:tcBorders>
            <w:shd w:fill="DDE7F0" w:val="clear"/>
            <w:tcMar>
              <w:top w:type="dxa" w:w="50"/>
              <w:left w:type="dxa" w:w="90"/>
              <w:bottom w:type="dxa" w:w="50"/>
              <w:right w:type="dxa" w:w="90"/>
            </w:tcMar>
          </w:tcPr>
          <w:p>
            <w:r>
              <w:rPr>
                <w:b/>
                <w:bCs/>
                <w:sz w:val="17"/>
                <w:szCs w:val="17"/>
              </w:rPr>
              <w:t xml:space="preserve">MCC</w:t>
            </w:r>
          </w:p>
        </w:tc>
      </w:tr>
      <w:tr>
        <w:tc>
          <w:tcPr>
            <w:tcW w:type="dxa" w:w="17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규칙</w:t>
            </w:r>
          </w:p>
        </w:tc>
        <w:tc>
          <w:tcPr>
            <w:tcW w:type="dxa" w:w="12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0.91</w:t>
            </w:r>
          </w:p>
        </w:tc>
        <w:tc>
          <w:tcPr>
            <w:tcW w:type="dxa" w:w="11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0.73</w:t>
            </w:r>
          </w:p>
        </w:tc>
        <w:tc>
          <w:tcPr>
            <w:tcW w:type="dxa" w:w="10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0.81</w:t>
            </w:r>
          </w:p>
        </w:tc>
        <w:tc>
          <w:tcPr>
            <w:tcW w:type="dxa" w:w="11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0.88</w:t>
            </w:r>
          </w:p>
        </w:tc>
        <w:tc>
          <w:tcPr>
            <w:tcW w:type="dxa" w:w="11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0.80</w:t>
            </w:r>
          </w:p>
        </w:tc>
        <w:tc>
          <w:tcPr>
            <w:tcW w:type="dxa" w:w="1026"/>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0.59</w:t>
            </w:r>
          </w:p>
        </w:tc>
      </w:tr>
      <w:tr>
        <w:tc>
          <w:tcPr>
            <w:tcW w:type="dxa" w:w="17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GPT-4o</w:t>
            </w:r>
          </w:p>
        </w:tc>
        <w:tc>
          <w:tcPr>
            <w:tcW w:type="dxa" w:w="12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0.83</w:t>
            </w:r>
          </w:p>
        </w:tc>
        <w:tc>
          <w:tcPr>
            <w:tcW w:type="dxa" w:w="11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0.97</w:t>
            </w:r>
          </w:p>
        </w:tc>
        <w:tc>
          <w:tcPr>
            <w:tcW w:type="dxa" w:w="10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0.90</w:t>
            </w:r>
          </w:p>
        </w:tc>
        <w:tc>
          <w:tcPr>
            <w:tcW w:type="dxa" w:w="11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0.68</w:t>
            </w:r>
          </w:p>
        </w:tc>
        <w:tc>
          <w:tcPr>
            <w:tcW w:type="dxa" w:w="11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0.82</w:t>
            </w:r>
          </w:p>
        </w:tc>
        <w:tc>
          <w:tcPr>
            <w:tcW w:type="dxa" w:w="1026"/>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0.70</w:t>
            </w:r>
          </w:p>
        </w:tc>
      </w:tr>
      <w:tr>
        <w:tc>
          <w:tcPr>
            <w:tcW w:type="dxa" w:w="17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Claude</w:t>
            </w:r>
          </w:p>
        </w:tc>
        <w:tc>
          <w:tcPr>
            <w:tcW w:type="dxa" w:w="12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0.76</w:t>
            </w:r>
          </w:p>
        </w:tc>
        <w:tc>
          <w:tcPr>
            <w:tcW w:type="dxa" w:w="11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0.99</w:t>
            </w:r>
          </w:p>
        </w:tc>
        <w:tc>
          <w:tcPr>
            <w:tcW w:type="dxa" w:w="10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0.86</w:t>
            </w:r>
          </w:p>
        </w:tc>
        <w:tc>
          <w:tcPr>
            <w:tcW w:type="dxa" w:w="11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0.47</w:t>
            </w:r>
          </w:p>
        </w:tc>
        <w:tc>
          <w:tcPr>
            <w:tcW w:type="dxa" w:w="11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0.73</w:t>
            </w:r>
          </w:p>
        </w:tc>
        <w:tc>
          <w:tcPr>
            <w:tcW w:type="dxa" w:w="1026"/>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0.58</w:t>
            </w:r>
          </w:p>
        </w:tc>
      </w:tr>
    </w:tbl>
    <w:p>
      <w:pPr>
        <w:spacing w:after="180" w:before="40"/>
        <w:jc w:val="center"/>
      </w:pPr>
      <w:r>
        <w:rPr>
          <w:i/>
          <w:iCs/>
          <w:color w:val="555555"/>
          <w:sz w:val="18"/>
          <w:szCs w:val="18"/>
        </w:rPr>
        <w:t xml:space="preserve">표 3. 편향 제거 정답셋(규칙·GPT 합의 129 + 재판정 71) 대비 성능</w:t>
      </w:r>
    </w:p>
    <w:p>
      <w:pPr>
        <w:spacing w:after="120"/>
      </w:pPr>
      <w:r>
        <w:t xml:space="preserve">편향을 제거한 정답셋에서 GPT-4o가 F1 0.90으로 가장 우수하였고, Claude는 F1 0.86이나 특이도가 0.47로 낮아 과다추출 경향이 확인되었다(양성 164건, 재현율 0.99). 규칙은 F1 0.81로 고정밀·저재현 특성을 유지하였다. 규칙과 GPT-4o가 합의하여 Claude와 완전히 독립적으로 결정된 129개 부분집합에서 Claude는 정답과 88.4% 일치하였다 — 즉 두 독립 방법이 합의하는 사안에서도 Claude는 약 12%를 과다 판정하였다. 이는 앞서 다수결 기준(표 2)에서 Claude가 높게 보인 것이 상당 부분 참조표준 편향이었음을 정정한다.</w:t>
      </w:r>
    </w:p>
    <w:p>
      <w:pPr>
        <w:pStyle w:val="Heading1"/>
      </w:pPr>
      <w:r>
        <w:t xml:space="preserve">5. 논의</w:t>
      </w:r>
    </w:p>
    <w:p>
      <w:pPr>
        <w:spacing w:after="120"/>
      </w:pPr>
      <w:r>
        <w:t xml:space="preserve">규칙 기반 방식의 낮은 재현율은 한국 RFP의 표 형식 요구사항 작성 관행에서 기인한다. 표의 '요구사항 상세설명' 셀에는 의무 종결형('~해야 한다') 없이 명사구·평서형으로 축약 기술되는 항목이 많으며, 규칙 필터는 이를 요구사항으로 포착하지 못한다. 상용 LLM은 문맥으로 이러한 항목의 요구사항성을 인식하여 회수한다. 반면 LLM은 사업 관리 조항·제안 요청 서술 일부를 요구사항으로 오판하여 정밀도가 낮아진다. 실무 적용에서는 규칙으로 고정밀 후보를 확보하고 LLM으로 재현율을 보강하되, LLM 결과는 검토를 거치는 구성이 적절하다.</w:t>
      </w:r>
    </w:p>
    <w:p>
      <w:pPr>
        <w:spacing w:after="120"/>
      </w:pPr>
      <w:r>
        <w:t xml:space="preserve">LLM 2종 간의 높은 일치(κ=0.677)는 상용 LLM이 요구사항 식별에서 재현 가능한 공통 기준을 형성함을 시사하며, 단일 모델 의존의 위험을 완화하는 다중 LLM 합의 추출의 가능성을 보인다. 다만 두 LLM 모두, 특히 Claude가 규칙 대비 과다추출 경향을 보이므로, 재현율 향상과 정밀도 저하의 절충을 실무 요구에 맞춰 조정해야 한다. 균형 지표(MCC·F1)에서는 GPT-4o가 가장 우수하였다.</w:t>
      </w:r>
    </w:p>
    <w:p>
      <w:pPr>
        <w:pStyle w:val="Heading1"/>
      </w:pPr>
      <w:r>
        <w:t xml:space="preserve">6. 타당성 위협</w:t>
      </w:r>
    </w:p>
    <w:p>
      <w:pPr>
        <w:pStyle w:val="ListParagraph"/>
        <w:numPr>
          <w:ilvl w:val="0"/>
          <w:numId w:val="2"/>
        </w:numPr>
      </w:pPr>
      <w:r>
        <w:t xml:space="preserve">참조표준: 인간 정답셋 대신 다수결 및 규칙-GPT 합의를 참조표준으로 사용하였다. 규칙·GPT 합의(129건)로 정답의 다수를 Claude와 독립적으로 결정하여 편향을 부분적으로 제거하였으나(4.4절), 불일치 71건의 재판정 기준 적용은 완전한 독립 정답셋이 아니다. 독립 전문가 정답셋 기반 재평가가 후속 과제이다.</w:t>
      </w:r>
    </w:p>
    <w:p>
      <w:pPr>
        <w:pStyle w:val="ListParagraph"/>
        <w:numPr>
          <w:ilvl w:val="0"/>
          <w:numId w:val="2"/>
        </w:numPr>
      </w:pPr>
      <w:r>
        <w:t xml:space="preserve">표본: 200개 세그먼트, 공개 RFP 14건(2013년)으로 한정된다. 규모 확대와 최신·타 도메인 RFP 검증이 필요하다.</w:t>
      </w:r>
    </w:p>
    <w:p>
      <w:pPr>
        <w:pStyle w:val="ListParagraph"/>
        <w:numPr>
          <w:ilvl w:val="0"/>
          <w:numId w:val="2"/>
        </w:numPr>
      </w:pPr>
      <w:r>
        <w:t xml:space="preserve">LLM 조건: GPT-4o와 Claude(Sonnet 4.5) 모두 각 사 API로 temperature=0·동일 프롬프트로 통제 실행하였다. 상이한 모델 버전 간 비교이므로 특정 벤더의 일반화된 우열로 해석하지 않는다.</w:t>
      </w:r>
    </w:p>
    <w:p>
      <w:pPr>
        <w:pStyle w:val="ListParagraph"/>
        <w:numPr>
          <w:ilvl w:val="0"/>
          <w:numId w:val="2"/>
        </w:numPr>
      </w:pPr>
      <w:r>
        <w:t xml:space="preserve">구조화 필드: 주체·동작·대상 추출의 정확도는 본 논문에서 정량 평가하지 않았으며 추출 식별에 집중하였다.</w:t>
      </w:r>
    </w:p>
    <w:p>
      <w:pPr>
        <w:pStyle w:val="Heading1"/>
      </w:pPr>
      <w:r>
        <w:t xml:space="preserve">7. 관련 연구</w:t>
      </w:r>
    </w:p>
    <w:p>
      <w:pPr>
        <w:spacing w:after="120"/>
      </w:pPr>
      <w:r>
        <w:t xml:space="preserve">van Can과 Dalpiaz[1]는 비정형 backlog item에서 요구사항을 위치찾는 문제에 내용 분석과 LLM 실험을 결합하고, 미세조정 인코더 모델이 디코더 LLM보다 추출에서 우세함을 보였다. Abualhaija 등[2]은 전통적 명세 문서에서 요구사항을 자동 구획하는 접근을 제안하였다. 본 연구는 이들 흐름을 한국어 공공조달 RFP의 표·엑셀 양식으로 이전하고, 규칙 기반 방식과 상용 LLM의 추출 일치도를 규명한다는 점에서 구별된다.</w:t>
      </w:r>
    </w:p>
    <w:p>
      <w:pPr>
        <w:pStyle w:val="Heading1"/>
      </w:pPr>
      <w:r>
        <w:t xml:space="preserve">8. 결론 및 향후 연구</w:t>
      </w:r>
    </w:p>
    <w:p>
      <w:pPr>
        <w:spacing w:after="120"/>
      </w:pPr>
      <w:r>
        <w:t xml:space="preserve">본 연구는 한국어 공공조달 RFP 문서에서 요구사항을 추출·구조화하는 과제를 규칙 기반 방식과 상용 LLM 2종으로 수행하고 일치도를 검증하였다. 규칙 기반 방식은 고정밀·저재현(정밀도 0.91, 재현율 0.73, F1 0.81)이었고, 상용 LLM은 규칙이 놓친 표 형식 요구사항을 회수하여 재현율을 높였다. 편향 제거 정답셋에서 GPT-4o가 F1 0.90으로 가장 균형 잡혔고 Claude는 재현율이 0.99로 높으나 특이도가 0.47로 낮아 과다추출 경향을 보였다. LLM 2종 간 일치(κ=0.68)가 규칙-LLM 일치보다 높아, 상용 LLM이 요구사항 식별에서 공통 기준을 형성함을 보였다. 향후 (1) 전문가 정답셋 구축과 진 정밀도·재현율·F1 측정, (2) 인코더 계열 한국어 모델(KoBERT·KoRoBERTa)의 미세조정 추출 비교, (3) 규칙-LLM 하이브리드 추출 파이프라인 구현과 구조화 필드 정확도 평가, (4) 표본 확대와 최신·타 도메인 RFP 확장을 계획한다.</w:t>
      </w:r>
    </w:p>
    <w:p>
      <w:pPr>
        <w:pStyle w:val="Heading1"/>
      </w:pPr>
      <w:r>
        <w:t xml:space="preserve">참고문헌</w:t>
      </w:r>
    </w:p>
    <w:p>
      <w:pPr>
        <w:spacing w:after="120"/>
      </w:pPr>
      <w:r>
        <w:rPr>
          <w:sz w:val="18"/>
          <w:szCs w:val="18"/>
        </w:rPr>
        <w:t xml:space="preserve">[1] A. T. van Can and F. Dalpiaz, "Locating requirements in backlog items: Content analysis and experiments with large language models," Information and Software Technology, vol. 179, 107644, 2025.</w:t>
      </w:r>
    </w:p>
    <w:p>
      <w:pPr>
        <w:spacing w:after="120"/>
      </w:pPr>
      <w:r>
        <w:rPr>
          <w:sz w:val="18"/>
          <w:szCs w:val="18"/>
        </w:rPr>
        <w:t xml:space="preserve">[2] S. Abualhaija et al., "A machine learning-based approach for demarcating requirements in textual specifications," IEEE International Requirements Engineering Conference (RE), 2019.</w:t>
      </w:r>
    </w:p>
    <w:p>
      <w:pPr>
        <w:spacing w:after="120"/>
      </w:pPr>
      <w:r>
        <w:rPr>
          <w:sz w:val="18"/>
          <w:szCs w:val="18"/>
        </w:rPr>
        <w:t xml:space="preserve">[3] A. Vaswani et al., "Attention is all you need," NeurIPS, 2017.</w:t>
      </w:r>
    </w:p>
    <w:p>
      <w:pPr>
        <w:spacing w:after="120"/>
      </w:pPr>
      <w:r>
        <w:rPr>
          <w:sz w:val="18"/>
          <w:szCs w:val="18"/>
        </w:rPr>
        <w:t xml:space="preserve">[4] J. Devlin et al., "BERT: Pre-training of Deep Bidirectional Transformers for Language Understanding," NAACL, 2019.</w:t>
      </w:r>
    </w:p>
    <w:p>
      <w:pPr>
        <w:spacing w:after="120"/>
      </w:pPr>
      <w:r>
        <w:rPr>
          <w:sz w:val="18"/>
          <w:szCs w:val="18"/>
        </w:rPr>
        <w:t xml:space="preserve">[5] ISO/IEC/IEEE 29148:2018, "Systems and Software Engineering — Requirements Engineering."</w:t>
      </w:r>
    </w:p>
    <w:p>
      <w:pPr>
        <w:spacing w:after="120"/>
      </w:pPr>
      <w:r>
        <w:t xml:space="preserve"/>
      </w:r>
    </w:p>
    <w:p>
      <w:pPr>
        <w:spacing w:after="120"/>
      </w:pPr>
      <w:r>
        <w:rPr>
          <w:i/>
          <w:iCs/>
          <w:color w:val="666666"/>
          <w:sz w:val="18"/>
          <w:szCs w:val="18"/>
        </w:rPr>
        <w:t xml:space="preserve">— 재현 자료: github.com/24nga/KoFinRe, experiments/rfp_extraction_llm/. 판정 라벨·지표·코드 공개(세그먼트 원문 비공개).</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280"/>
      <w:outlineLvl w:val="0"/>
    </w:pPr>
    <w:rPr>
      <w:rFonts w:ascii="맑은 고딕" w:cs="맑은 고딕" w:eastAsia="맑은 고딕" w:hAnsi="맑은 고딕"/>
      <w:b/>
      <w:bCs/>
      <w:color w:val="1F3864"/>
      <w:sz w:val="28"/>
      <w:szCs w:val="28"/>
    </w:rPr>
  </w:style>
  <w:style w:type="paragraph" w:styleId="Heading2">
    <w:name w:val="Heading 2"/>
    <w:basedOn w:val="Normal"/>
    <w:next w:val="Normal"/>
    <w:qFormat/>
    <w:pPr>
      <w:spacing w:after="90" w:before="190"/>
      <w:outlineLvl w:val="1"/>
    </w:pPr>
    <w:rPr>
      <w:rFonts w:ascii="맑은 고딕" w:cs="맑은 고딕" w:eastAsia="맑은 고딕" w:hAnsi="맑은 고딕"/>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2026-08-04T07:04:36.741Z</dcterms:created>
  <dcterms:modified xsi:type="dcterms:W3CDTF">2026-08-04T07:04:36.749Z</dcterms:modified>
</cp:coreProperties>
</file>

<file path=docProps/custom.xml><?xml version="1.0" encoding="utf-8"?>
<Properties xmlns="http://schemas.openxmlformats.org/officeDocument/2006/custom-properties" xmlns:vt="http://schemas.openxmlformats.org/officeDocument/2006/docPropsVTypes"/>
</file>