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Supplementary Tables — Shifting Geography of Robotic Surgery Clinical Trials, 2001–2025</w:t>
      </w:r>
    </w:p>
    <w:p>
      <w:pPr>
        <w:pStyle w:val="Heading1"/>
        <w:jc w:val="left"/>
      </w:pPr>
      <w:r>
        <w:rPr>
          <w:rFonts w:ascii="Times New Roman" w:hAnsi="Times New Roman"/>
          <w:b/>
          <w:color w:val="000000"/>
        </w:rPr>
      </w:r>
      <w:r>
        <w:rPr>
          <w:rFonts w:ascii="Times New Roman" w:hAnsi="Times New Roman"/>
          <w:b/>
          <w:color w:val="000000"/>
        </w:rPr>
        <w:t>Supplementary Table S1</w:t>
      </w:r>
    </w:p>
    <w:p>
      <w:r>
        <w:rPr>
          <w:b/>
        </w:rPr>
        <w:t>Supplementary Table S1.</w:t>
      </w:r>
      <w:r>
        <w:t xml:space="preserve"> Full historical World Bank income classification lookup used in time-varying attribution, by country and calendar year, 1987–2025 (OGHIST 1987–2021 + forward-fill 2022–2025).</w:t>
      </w:r>
    </w:p>
    <w:p>
      <w:r>
        <w:rPr>
          <w:i/>
        </w:rPr>
        <w:t>Full content provided as the accompanying CSV file (`Supplementary_Table_S1_historical_WB_classifications.csv`); 8,281 country-year rows.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/>
          <w:b/>
          <w:color w:val="000000"/>
        </w:rPr>
      </w:r>
      <w:r>
        <w:rPr>
          <w:rFonts w:ascii="Times New Roman" w:hAnsi="Times New Roman"/>
          <w:b/>
          <w:color w:val="000000"/>
        </w:rPr>
        <w:t>Supplementary Table S2</w:t>
      </w:r>
    </w:p>
    <w:p>
      <w:r>
        <w:rPr>
          <w:b/>
        </w:rPr>
        <w:t>Supplementary Table S2.</w:t>
      </w:r>
      <w:r>
        <w:t xml:space="preserve"> Sensitivity comparison of income-tier shares under static 2024–25 classification versus time-varying classification, with attention to countries undergoing classification transitions during the study window (notably China, South Korea, Poland, Saudi Arabia, Brazil, India).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line="276" w:lineRule="auto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Income tier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Static 2024–25 classification (%)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Time-varying classification (%)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Difference (pp)</w:t>
            </w:r>
          </w:p>
        </w:tc>
      </w:tr>
      <w:tr>
        <w:tc>
          <w:tcPr>
            <w:tcW w:type="dxa" w:w="2340"/>
          </w:tcPr>
          <w:p>
            <w:pPr>
              <w:spacing w:line="276" w:lineRule="auto"/>
            </w:pPr>
            <w:r>
              <w:rPr>
                <w:sz w:val="20"/>
              </w:rPr>
            </w:r>
            <w:r>
              <w:rPr>
                <w:sz w:val="20"/>
              </w:rPr>
              <w:t>High income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>
              <w:rPr>
                <w:sz w:val="20"/>
              </w:rPr>
            </w:r>
            <w:r>
              <w:rPr>
                <w:sz w:val="20"/>
              </w:rPr>
              <w:t>82.28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>
              <w:rPr>
                <w:sz w:val="20"/>
              </w:rPr>
            </w:r>
            <w:r>
              <w:rPr>
                <w:sz w:val="20"/>
              </w:rPr>
              <w:t>81.67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>
              <w:rPr>
                <w:sz w:val="20"/>
              </w:rPr>
            </w:r>
            <w:r>
              <w:rPr>
                <w:sz w:val="20"/>
              </w:rPr>
              <w:t>-0.61</w:t>
            </w:r>
          </w:p>
        </w:tc>
      </w:tr>
      <w:tr>
        <w:tc>
          <w:tcPr>
            <w:tcW w:type="dxa" w:w="2340"/>
          </w:tcPr>
          <w:p>
            <w:pPr>
              <w:spacing w:line="276" w:lineRule="auto"/>
            </w:pPr>
            <w:r>
              <w:rPr>
                <w:sz w:val="20"/>
              </w:rPr>
            </w:r>
            <w:r>
              <w:rPr>
                <w:sz w:val="20"/>
              </w:rPr>
              <w:t>Upper-middle income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>
              <w:rPr>
                <w:sz w:val="20"/>
              </w:rPr>
            </w:r>
            <w:r>
              <w:rPr>
                <w:sz w:val="20"/>
              </w:rPr>
              <w:t>15.39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>
              <w:rPr>
                <w:sz w:val="20"/>
              </w:rPr>
            </w:r>
            <w:r>
              <w:rPr>
                <w:sz w:val="20"/>
              </w:rPr>
              <w:t>15.66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>
              <w:rPr>
                <w:sz w:val="20"/>
              </w:rPr>
            </w:r>
            <w:r>
              <w:rPr>
                <w:sz w:val="20"/>
              </w:rPr>
              <w:t>0.27</w:t>
            </w:r>
          </w:p>
        </w:tc>
      </w:tr>
      <w:tr>
        <w:tc>
          <w:tcPr>
            <w:tcW w:type="dxa" w:w="2340"/>
          </w:tcPr>
          <w:p>
            <w:pPr>
              <w:spacing w:line="276" w:lineRule="auto"/>
            </w:pPr>
            <w:r>
              <w:rPr>
                <w:sz w:val="20"/>
              </w:rPr>
            </w:r>
            <w:r>
              <w:rPr>
                <w:sz w:val="20"/>
              </w:rPr>
              <w:t>Lower-middle income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>
              <w:rPr>
                <w:sz w:val="20"/>
              </w:rPr>
            </w:r>
            <w:r>
              <w:rPr>
                <w:sz w:val="20"/>
              </w:rPr>
              <w:t>2.33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>
              <w:rPr>
                <w:sz w:val="20"/>
              </w:rPr>
            </w:r>
            <w:r>
              <w:rPr>
                <w:sz w:val="20"/>
              </w:rPr>
              <w:t>2.63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>
              <w:rPr>
                <w:sz w:val="20"/>
              </w:rPr>
            </w:r>
            <w:r>
              <w:rPr>
                <w:sz w:val="20"/>
              </w:rPr>
              <w:t>0.3</w:t>
            </w:r>
          </w:p>
        </w:tc>
      </w:tr>
      <w:tr>
        <w:tc>
          <w:tcPr>
            <w:tcW w:type="dxa" w:w="2340"/>
          </w:tcPr>
          <w:p>
            <w:pPr>
              <w:spacing w:line="276" w:lineRule="auto"/>
            </w:pPr>
            <w:r>
              <w:rPr>
                <w:sz w:val="20"/>
              </w:rPr>
            </w:r>
            <w:r>
              <w:rPr>
                <w:sz w:val="20"/>
              </w:rPr>
              <w:t>Low income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>
              <w:rPr>
                <w:sz w:val="20"/>
              </w:rPr>
            </w:r>
            <w:r>
              <w:rPr>
                <w:sz w:val="20"/>
              </w:rPr>
              <w:t>0.0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>
              <w:rPr>
                <w:sz w:val="20"/>
              </w:rPr>
            </w:r>
            <w:r>
              <w:rPr>
                <w:sz w:val="20"/>
              </w:rPr>
              <w:t>0.04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>
              <w:rPr>
                <w:sz w:val="20"/>
              </w:rPr>
            </w:r>
            <w:r>
              <w:rPr>
                <w:sz w:val="20"/>
              </w:rPr>
              <w:t>0.04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/>
          <w:b/>
          <w:color w:val="000000"/>
        </w:rPr>
      </w:r>
      <w:r>
        <w:rPr>
          <w:rFonts w:ascii="Times New Roman" w:hAnsi="Times New Roman"/>
          <w:b/>
          <w:color w:val="000000"/>
        </w:rPr>
        <w:t>Supplementary Table S3</w:t>
      </w:r>
    </w:p>
    <w:p>
      <w:r>
        <w:rPr>
          <w:b/>
        </w:rPr>
        <w:t>Supplementary Table S3.</w:t>
      </w:r>
      <w:r>
        <w:t xml:space="preserve"> Per-country raw counts of country-trial participations by year, 2001–2025, and sensitivity analysis using primary (first or corresponding) author affiliation only.</w:t>
        <w:br/>
        <w:br/>
      </w:r>
      <w:r>
        <w:rPr>
          <w:b/>
        </w:rPr>
        <w:t>Supplementary Figure S1.</w:t>
      </w:r>
      <w:r>
        <w:t xml:space="preserve"> Record-flow diagram: MEDLINE records screened, robotic surgery filter applied, clinical-trial-type filter applied, final analytic cohort, and attrition at each step including records without identifiable country attribution.</w:t>
        <w:br/>
        <w:br/>
      </w:r>
      <w:r>
        <w:rPr>
          <w:b/>
        </w:rPr>
        <w:t>Supplementary Figure S2.</w:t>
      </w:r>
      <w:r>
        <w:t xml:space="preserve"> Equity dashboard (multi-panel): per-country trial counts for the top 15 contributors over time; time-varying income-tier distribution; per-million-population production rate by income tier; observed-to-expected ratios under each of the three null distributions.</w:t>
        <w:br/>
        <w:br/>
      </w:r>
      <w:r>
        <w:rPr>
          <w:b/>
        </w:rPr>
        <w:t>Supplementary Figure S3.</w:t>
      </w:r>
      <w:r>
        <w:t xml:space="preserve"> Decomposition of non-HIC country-trial participations, 2001–2025. Panel A: Annual non-HIC share of participations, stratified into contribution from the single largest non-HIC contributor (China) versus all other non-HIC countries combined. The aggregate non-HIC share rose from 13.0% during 2001–2005 to 24.9% during 2021–2025, driven entirely by China's rise from 3.6% to 18.7%; the non-HIC share excluding China </w:t>
      </w:r>
      <w:r>
        <w:rPr>
          <w:i/>
        </w:rPr>
        <w:t>declined</w:t>
      </w:r>
      <w:r>
        <w:t xml:space="preserve"> over the same interval from 9.4% to 6.2%. Panel B: Year-by-year Herfindahl-Hirschman Index computed across non-HIC countries alone, indicating that concentration within the non-HIC producer subset remained high throughout the study period; early-year values with small denominators (n &lt; 5 non-HIC participations) are faded to reflect estimation instability.</w:t>
        <w:br/>
        <w:br/>
        <w:t>---</w:t>
      </w:r>
    </w:p>
    <w:p>
      <w:r>
        <w:rPr>
          <w:i/>
        </w:rPr>
        <w:t>Per-country counts by year are provided in full as the accompanying CSV file (`Supplementary_Table_S3_country_year_counts.csv`); 47 countries × 25 years. The 15 highest-contributing countries are reproduced below for reference.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c>
          <w:tcPr>
            <w:tcW w:type="dxa" w:w="851"/>
          </w:tcPr>
          <w:p>
            <w:pPr>
              <w:spacing w:line="276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country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2017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2018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2019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2020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2021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2022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2023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2024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2025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Total</w:t>
            </w:r>
          </w:p>
        </w:tc>
      </w:tr>
      <w:tr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United States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35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29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31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30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34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32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35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48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49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612</w:t>
            </w:r>
          </w:p>
        </w:tc>
      </w:tr>
      <w:tr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China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12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23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24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32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58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101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318</w:t>
            </w:r>
          </w:p>
        </w:tc>
      </w:tr>
      <w:tr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United Kingdom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14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19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14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11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19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23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17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32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52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292</w:t>
            </w:r>
          </w:p>
        </w:tc>
      </w:tr>
      <w:tr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South Korea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16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14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13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9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12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12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14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19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188</w:t>
            </w:r>
          </w:p>
        </w:tc>
      </w:tr>
      <w:tr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Germany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9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14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11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12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16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32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178</w:t>
            </w:r>
          </w:p>
        </w:tc>
      </w:tr>
      <w:tr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Italy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12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11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14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14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13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17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17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161</w:t>
            </w:r>
          </w:p>
        </w:tc>
      </w:tr>
      <w:tr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Japan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9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20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16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119</w:t>
            </w:r>
          </w:p>
        </w:tc>
      </w:tr>
      <w:tr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France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9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14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13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99</w:t>
            </w:r>
          </w:p>
        </w:tc>
      </w:tr>
      <w:tr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Netherlands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12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11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84</w:t>
            </w:r>
          </w:p>
        </w:tc>
      </w:tr>
      <w:tr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Canada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14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83</w:t>
            </w:r>
          </w:p>
        </w:tc>
      </w:tr>
      <w:tr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Denmark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15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52</w:t>
            </w:r>
          </w:p>
        </w:tc>
      </w:tr>
      <w:tr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Turkey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49</w:t>
            </w:r>
          </w:p>
        </w:tc>
      </w:tr>
      <w:tr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Sweden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47</w:t>
            </w:r>
          </w:p>
        </w:tc>
      </w:tr>
      <w:tr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India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46</w:t>
            </w:r>
          </w:p>
        </w:tc>
      </w:tr>
      <w:tr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Spain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851"/>
          </w:tcPr>
          <w:p>
            <w:pPr>
              <w:spacing w:line="276" w:lineRule="auto"/>
            </w:pPr>
            <w:r>
              <w:rPr>
                <w:sz w:val="16"/>
              </w:rPr>
            </w:r>
            <w:r>
              <w:rPr>
                <w:sz w:val="16"/>
              </w:rPr>
              <w:t>43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