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05 — Technical Requirements Document</w:t>
      </w:r>
    </w:p>
    <w:p>
      <w:pPr>
        <w:jc w:val="center"/>
      </w:pPr>
      <w:r>
        <w:t>Working Name: ALPF</w:t>
      </w:r>
    </w:p>
    <w:p>
      <w:pPr>
        <w:jc w:val="center"/>
      </w:pPr>
      <w:r>
        <w:t>Version: 1.0</w:t>
      </w:r>
    </w:p>
    <w:p>
      <w:pPr>
        <w:jc w:val="center"/>
      </w:pPr>
      <w:r>
        <w:t>Status: Requirements Baseline</w:t>
      </w:r>
    </w:p>
    <w:p>
      <w:pPr>
        <w:jc w:val="center"/>
      </w:pPr>
      <w:r>
        <w:rPr>
          <w:i/>
        </w:rPr>
        <w:t>Formal system requirements derived from the research problem, prior art, and threat model.</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Technical Requirements Document</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Depends On</w:t>
            </w:r>
          </w:p>
        </w:tc>
        <w:tc>
          <w:tcPr>
            <w:tcW w:type="dxa" w:w="4896"/>
          </w:tcPr>
          <w:p>
            <w:r>
              <w:t>Documents 01–04</w:t>
            </w:r>
          </w:p>
        </w:tc>
      </w:tr>
      <w:tr>
        <w:tc>
          <w:tcPr>
            <w:tcW w:type="dxa" w:w="4896"/>
          </w:tcPr>
          <w:p>
            <w:r>
              <w:t>Purpose</w:t>
            </w:r>
          </w:p>
        </w:tc>
        <w:tc>
          <w:tcPr>
            <w:tcW w:type="dxa" w:w="4896"/>
          </w:tcPr>
          <w:p>
            <w:r>
              <w:t>Define testable functional, security, performance, compatibility, reliability, and evaluation requirements.</w:t>
            </w:r>
          </w:p>
        </w:tc>
      </w:tr>
      <w:tr>
        <w:tc>
          <w:tcPr>
            <w:tcW w:type="dxa" w:w="4896"/>
          </w:tcPr>
          <w:p>
            <w:r>
              <w:t>Status</w:t>
            </w:r>
          </w:p>
        </w:tc>
        <w:tc>
          <w:tcPr>
            <w:tcW w:type="dxa" w:w="4896"/>
          </w:tcPr>
          <w:p>
            <w:r>
              <w:t>Requirements baseline</w:t>
            </w:r>
          </w:p>
        </w:tc>
      </w:tr>
    </w:tbl>
    <w:p>
      <w:pPr>
        <w:pStyle w:val="Heading1"/>
      </w:pPr>
      <w:r>
        <w:t>1. Purpose</w:t>
      </w:r>
    </w:p>
    <w:p>
      <w:r>
        <w:rPr>
          <w:b w:val="0"/>
        </w:rPr>
        <w:t>This Technical Requirements Document (TRD) translates the ALPF research problem and threat model into explicit requirements. Each requirement is intended to be testable and traceable to later architecture, implementation, and evaluation work.</w:t>
      </w:r>
    </w:p>
    <w:p>
      <w:r>
        <w:rPr>
          <w:b w:val="0"/>
        </w:rPr>
        <w:t>The TRD deliberately describes required behavior rather than prescribing a specific implementation. Detailed component structure, Android source locations, Binder contracts, and algorithms will be defined in subsequent design documents.</w:t>
      </w:r>
    </w:p>
    <w:p>
      <w:pPr>
        <w:pStyle w:val="Heading1"/>
      </w:pPr>
      <w:r>
        <w:t>2. System Scope</w:t>
      </w:r>
    </w:p>
    <w:p>
      <w:r>
        <w:rPr>
          <w:b w:val="0"/>
        </w:rPr>
        <w:t>ALPF is a privileged Android system-level privacy mediation framework consisting conceptually of a user-facing Control APK, a protected system service, a policy engine, transformation and metadata-sanitization components, and integration with Android's location framework.</w:t>
      </w:r>
    </w:p>
    <w:p>
      <w:pPr>
        <w:ind w:left="360"/>
      </w:pPr>
      <w:r>
        <w:rPr>
          <w:rFonts w:ascii="Consolas" w:hAnsi="Consolas"/>
          <w:sz w:val="18"/>
        </w:rPr>
        <w:t>CONTROL PLANE</w:t>
        <w:br/>
        <w:t>Control APK</w:t>
        <w:br/>
        <w:t xml:space="preserve">      │</w:t>
        <w:br/>
        <w:t xml:space="preserve">      ▼ Binder / IPC</w:t>
        <w:br/>
        <w:t>POLICY MANAGEMENT SERVICE</w:t>
        <w:br/>
        <w:t xml:space="preserve">      │</w:t>
        <w:br/>
        <w:t xml:space="preserve">      ▼</w:t>
        <w:br/>
        <w:t>POLICY ENGINE</w:t>
        <w:br/>
        <w:t xml:space="preserve">      │</w:t>
        <w:br/>
        <w:t xml:space="preserve">      ▼</w:t>
        <w:br/>
        <w:t>ENFORCEMENT / TRANSFORMATION</w:t>
        <w:br/>
        <w:t xml:space="preserve">      │</w:t>
        <w:br/>
        <w:t xml:space="preserve">      ▼</w:t>
        <w:br/>
        <w:t>ANDROID LOCATION INFRASTRUCTURE</w:t>
        <w:br/>
        <w:t xml:space="preserve">      │</w:t>
        <w:br/>
        <w:t xml:space="preserve">      ▼</w:t>
        <w:br/>
        <w:t>APPLICATION</w:t>
      </w:r>
    </w:p>
    <w:p>
      <w:pPr>
        <w:pStyle w:val="Heading1"/>
      </w:pPr>
      <w:r>
        <w:t>3. Requirement Classification</w:t>
      </w:r>
    </w:p>
    <w:tbl>
      <w:tblPr>
        <w:tblStyle w:val="TableGrid"/>
        <w:tblW w:type="auto" w:w="0"/>
        <w:tblLook w:firstColumn="1" w:firstRow="1" w:lastColumn="0" w:lastRow="0" w:noHBand="0" w:noVBand="1" w:val="04A0"/>
      </w:tblPr>
      <w:tblGrid>
        <w:gridCol w:w="3264"/>
        <w:gridCol w:w="3264"/>
        <w:gridCol w:w="3264"/>
      </w:tblGrid>
      <w:tr>
        <w:tc>
          <w:tcPr>
            <w:tcW w:type="dxa" w:w="3264"/>
          </w:tcPr>
          <w:p>
            <w:r>
              <w:t>Class</w:t>
            </w:r>
          </w:p>
        </w:tc>
        <w:tc>
          <w:tcPr>
            <w:tcW w:type="dxa" w:w="3264"/>
          </w:tcPr>
          <w:p>
            <w:r>
              <w:t>Prefix</w:t>
            </w:r>
          </w:p>
        </w:tc>
        <w:tc>
          <w:tcPr>
            <w:tcW w:type="dxa" w:w="3264"/>
          </w:tcPr>
          <w:p>
            <w:r>
              <w:t>Meaning</w:t>
            </w:r>
          </w:p>
        </w:tc>
      </w:tr>
      <w:tr>
        <w:tc>
          <w:tcPr>
            <w:tcW w:type="dxa" w:w="3264"/>
          </w:tcPr>
          <w:p>
            <w:r>
              <w:t>Functional</w:t>
            </w:r>
          </w:p>
        </w:tc>
        <w:tc>
          <w:tcPr>
            <w:tcW w:type="dxa" w:w="3264"/>
          </w:tcPr>
          <w:p>
            <w:r>
              <w:t>FR</w:t>
            </w:r>
          </w:p>
        </w:tc>
        <w:tc>
          <w:tcPr>
            <w:tcW w:type="dxa" w:w="3264"/>
          </w:tcPr>
          <w:p>
            <w:r>
              <w:t>Required system behavior</w:t>
            </w:r>
          </w:p>
        </w:tc>
      </w:tr>
      <w:tr>
        <w:tc>
          <w:tcPr>
            <w:tcW w:type="dxa" w:w="3264"/>
          </w:tcPr>
          <w:p>
            <w:r>
              <w:t>Security</w:t>
            </w:r>
          </w:p>
        </w:tc>
        <w:tc>
          <w:tcPr>
            <w:tcW w:type="dxa" w:w="3264"/>
          </w:tcPr>
          <w:p>
            <w:r>
              <w:t>SEC</w:t>
            </w:r>
          </w:p>
        </w:tc>
        <w:tc>
          <w:tcPr>
            <w:tcW w:type="dxa" w:w="3264"/>
          </w:tcPr>
          <w:p>
            <w:r>
              <w:t>Security/privacy protection requirement</w:t>
            </w:r>
          </w:p>
        </w:tc>
      </w:tr>
      <w:tr>
        <w:tc>
          <w:tcPr>
            <w:tcW w:type="dxa" w:w="3264"/>
          </w:tcPr>
          <w:p>
            <w:r>
              <w:t>Performance</w:t>
            </w:r>
          </w:p>
        </w:tc>
        <w:tc>
          <w:tcPr>
            <w:tcW w:type="dxa" w:w="3264"/>
          </w:tcPr>
          <w:p>
            <w:r>
              <w:t>PERF</w:t>
            </w:r>
          </w:p>
        </w:tc>
        <w:tc>
          <w:tcPr>
            <w:tcW w:type="dxa" w:w="3264"/>
          </w:tcPr>
          <w:p>
            <w:r>
              <w:t>Latency/resource requirement</w:t>
            </w:r>
          </w:p>
        </w:tc>
      </w:tr>
      <w:tr>
        <w:tc>
          <w:tcPr>
            <w:tcW w:type="dxa" w:w="3264"/>
          </w:tcPr>
          <w:p>
            <w:r>
              <w:t>Reliability</w:t>
            </w:r>
          </w:p>
        </w:tc>
        <w:tc>
          <w:tcPr>
            <w:tcW w:type="dxa" w:w="3264"/>
          </w:tcPr>
          <w:p>
            <w:r>
              <w:t>REL</w:t>
            </w:r>
          </w:p>
        </w:tc>
        <w:tc>
          <w:tcPr>
            <w:tcW w:type="dxa" w:w="3264"/>
          </w:tcPr>
          <w:p>
            <w:r>
              <w:t>Failure and recovery behavior</w:t>
            </w:r>
          </w:p>
        </w:tc>
      </w:tr>
      <w:tr>
        <w:tc>
          <w:tcPr>
            <w:tcW w:type="dxa" w:w="3264"/>
          </w:tcPr>
          <w:p>
            <w:r>
              <w:t>Compatibility</w:t>
            </w:r>
          </w:p>
        </w:tc>
        <w:tc>
          <w:tcPr>
            <w:tcW w:type="dxa" w:w="3264"/>
          </w:tcPr>
          <w:p>
            <w:r>
              <w:t>COMP</w:t>
            </w:r>
          </w:p>
        </w:tc>
        <w:tc>
          <w:tcPr>
            <w:tcW w:type="dxa" w:w="3264"/>
          </w:tcPr>
          <w:p>
            <w:r>
              <w:t>Android/API compatibility requirement</w:t>
            </w:r>
          </w:p>
        </w:tc>
      </w:tr>
      <w:tr>
        <w:tc>
          <w:tcPr>
            <w:tcW w:type="dxa" w:w="3264"/>
          </w:tcPr>
          <w:p>
            <w:r>
              <w:t>Usability</w:t>
            </w:r>
          </w:p>
        </w:tc>
        <w:tc>
          <w:tcPr>
            <w:tcW w:type="dxa" w:w="3264"/>
          </w:tcPr>
          <w:p>
            <w:r>
              <w:t>USE</w:t>
            </w:r>
          </w:p>
        </w:tc>
        <w:tc>
          <w:tcPr>
            <w:tcW w:type="dxa" w:w="3264"/>
          </w:tcPr>
          <w:p>
            <w:r>
              <w:t>Control-plane/user experience requirement</w:t>
            </w:r>
          </w:p>
        </w:tc>
      </w:tr>
      <w:tr>
        <w:tc>
          <w:tcPr>
            <w:tcW w:type="dxa" w:w="3264"/>
          </w:tcPr>
          <w:p>
            <w:r>
              <w:t>Auditability</w:t>
            </w:r>
          </w:p>
        </w:tc>
        <w:tc>
          <w:tcPr>
            <w:tcW w:type="dxa" w:w="3264"/>
          </w:tcPr>
          <w:p>
            <w:r>
              <w:t>AUD</w:t>
            </w:r>
          </w:p>
        </w:tc>
        <w:tc>
          <w:tcPr>
            <w:tcW w:type="dxa" w:w="3264"/>
          </w:tcPr>
          <w:p>
            <w:r>
              <w:t>Diagnostics and evidence requirements</w:t>
            </w:r>
          </w:p>
        </w:tc>
      </w:tr>
      <w:tr>
        <w:tc>
          <w:tcPr>
            <w:tcW w:type="dxa" w:w="3264"/>
          </w:tcPr>
          <w:p>
            <w:r>
              <w:t>Research</w:t>
            </w:r>
          </w:p>
        </w:tc>
        <w:tc>
          <w:tcPr>
            <w:tcW w:type="dxa" w:w="3264"/>
          </w:tcPr>
          <w:p>
            <w:r>
              <w:t>RES</w:t>
            </w:r>
          </w:p>
        </w:tc>
        <w:tc>
          <w:tcPr>
            <w:tcW w:type="dxa" w:w="3264"/>
          </w:tcPr>
          <w:p>
            <w:r>
              <w:t>Requirement needed to evaluate the research hypothesis</w:t>
            </w:r>
          </w:p>
        </w:tc>
      </w:tr>
    </w:tbl>
    <w:p>
      <w:pPr>
        <w:pStyle w:val="Heading1"/>
      </w:pPr>
      <w:r>
        <w:t>4. Functional Requirements</w:t>
      </w:r>
    </w:p>
    <w:p>
      <w:pPr>
        <w:pStyle w:val="Heading2"/>
      </w:pPr>
      <w:r>
        <w:t>4.1 Application Identity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FR-001</w:t>
            </w:r>
          </w:p>
        </w:tc>
        <w:tc>
          <w:tcPr>
            <w:tcW w:type="dxa" w:w="4896"/>
          </w:tcPr>
          <w:p>
            <w:r>
              <w:t>The system shall identify the receiving application using trusted Android identity information rather than an application-supplied package name.</w:t>
            </w:r>
          </w:p>
        </w:tc>
      </w:tr>
      <w:tr>
        <w:tc>
          <w:tcPr>
            <w:tcW w:type="dxa" w:w="4896"/>
          </w:tcPr>
          <w:p>
            <w:r>
              <w:t>FR-002</w:t>
            </w:r>
          </w:p>
        </w:tc>
        <w:tc>
          <w:tcPr>
            <w:tcW w:type="dxa" w:w="4896"/>
          </w:tcPr>
          <w:p>
            <w:r>
              <w:t>The system shall represent at minimum the application UID, user/profile identity, and verified package association required for policy selection.</w:t>
            </w:r>
          </w:p>
        </w:tc>
      </w:tr>
      <w:tr>
        <w:tc>
          <w:tcPr>
            <w:tcW w:type="dxa" w:w="4896"/>
          </w:tcPr>
          <w:p>
            <w:r>
              <w:t>FR-003</w:t>
            </w:r>
          </w:p>
        </w:tc>
        <w:tc>
          <w:tcPr>
            <w:tcW w:type="dxa" w:w="4896"/>
          </w:tcPr>
          <w:p>
            <w:r>
              <w:t>The system shall support application-specific policies.</w:t>
            </w:r>
          </w:p>
        </w:tc>
      </w:tr>
      <w:tr>
        <w:tc>
          <w:tcPr>
            <w:tcW w:type="dxa" w:w="4896"/>
          </w:tcPr>
          <w:p>
            <w:r>
              <w:t>FR-004</w:t>
            </w:r>
          </w:p>
        </w:tc>
        <w:tc>
          <w:tcPr>
            <w:tcW w:type="dxa" w:w="4896"/>
          </w:tcPr>
          <w:p>
            <w:r>
              <w:t>The system shall prevent an application from selecting another application's policy through ordinary request parameters.</w:t>
            </w:r>
          </w:p>
        </w:tc>
      </w:tr>
    </w:tbl>
    <w:p>
      <w:pPr>
        <w:pStyle w:val="Heading2"/>
      </w:pPr>
      <w:r>
        <w:t>4.2 Policy Management</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FR-010</w:t>
            </w:r>
          </w:p>
        </w:tc>
        <w:tc>
          <w:tcPr>
            <w:tcW w:type="dxa" w:w="4896"/>
          </w:tcPr>
          <w:p>
            <w:r>
              <w:t>The Control APK shall allow an authorized user to view application policies.</w:t>
            </w:r>
          </w:p>
        </w:tc>
      </w:tr>
      <w:tr>
        <w:tc>
          <w:tcPr>
            <w:tcW w:type="dxa" w:w="4896"/>
          </w:tcPr>
          <w:p>
            <w:r>
              <w:t>FR-011</w:t>
            </w:r>
          </w:p>
        </w:tc>
        <w:tc>
          <w:tcPr>
            <w:tcW w:type="dxa" w:w="4896"/>
          </w:tcPr>
          <w:p>
            <w:r>
              <w:t>The Control APK shall allow an authorized user to create a policy.</w:t>
            </w:r>
          </w:p>
        </w:tc>
      </w:tr>
      <w:tr>
        <w:tc>
          <w:tcPr>
            <w:tcW w:type="dxa" w:w="4896"/>
          </w:tcPr>
          <w:p>
            <w:r>
              <w:t>FR-012</w:t>
            </w:r>
          </w:p>
        </w:tc>
        <w:tc>
          <w:tcPr>
            <w:tcW w:type="dxa" w:w="4896"/>
          </w:tcPr>
          <w:p>
            <w:r>
              <w:t>The Control APK shall allow an authorized user to modify a policy.</w:t>
            </w:r>
          </w:p>
        </w:tc>
      </w:tr>
      <w:tr>
        <w:tc>
          <w:tcPr>
            <w:tcW w:type="dxa" w:w="4896"/>
          </w:tcPr>
          <w:p>
            <w:r>
              <w:t>FR-013</w:t>
            </w:r>
          </w:p>
        </w:tc>
        <w:tc>
          <w:tcPr>
            <w:tcW w:type="dxa" w:w="4896"/>
          </w:tcPr>
          <w:p>
            <w:r>
              <w:t>The Control APK shall allow an authorized user to reset an application policy.</w:t>
            </w:r>
          </w:p>
        </w:tc>
      </w:tr>
      <w:tr>
        <w:tc>
          <w:tcPr>
            <w:tcW w:type="dxa" w:w="4896"/>
          </w:tcPr>
          <w:p>
            <w:r>
              <w:t>FR-014</w:t>
            </w:r>
          </w:p>
        </w:tc>
        <w:tc>
          <w:tcPr>
            <w:tcW w:type="dxa" w:w="4896"/>
          </w:tcPr>
          <w:p>
            <w:r>
              <w:t>The system shall validate policy values before accepting them.</w:t>
            </w:r>
          </w:p>
        </w:tc>
      </w:tr>
      <w:tr>
        <w:tc>
          <w:tcPr>
            <w:tcW w:type="dxa" w:w="4896"/>
          </w:tcPr>
          <w:p>
            <w:r>
              <w:t>FR-015</w:t>
            </w:r>
          </w:p>
        </w:tc>
        <w:tc>
          <w:tcPr>
            <w:tcW w:type="dxa" w:w="4896"/>
          </w:tcPr>
          <w:p>
            <w:r>
              <w:t>The system shall persist valid policy state across service/process restarts.</w:t>
            </w:r>
          </w:p>
        </w:tc>
      </w:tr>
      <w:tr>
        <w:tc>
          <w:tcPr>
            <w:tcW w:type="dxa" w:w="4896"/>
          </w:tcPr>
          <w:p>
            <w:r>
              <w:t>FR-016</w:t>
            </w:r>
          </w:p>
        </w:tc>
        <w:tc>
          <w:tcPr>
            <w:tcW w:type="dxa" w:w="4896"/>
          </w:tcPr>
          <w:p>
            <w:r>
              <w:t>The system shall associate policy state with the correct application identity and user/profile.</w:t>
            </w:r>
          </w:p>
        </w:tc>
      </w:tr>
      <w:tr>
        <w:tc>
          <w:tcPr>
            <w:tcW w:type="dxa" w:w="4896"/>
          </w:tcPr>
          <w:p>
            <w:r>
              <w:t>FR-017</w:t>
            </w:r>
          </w:p>
        </w:tc>
        <w:tc>
          <w:tcPr>
            <w:tcW w:type="dxa" w:w="4896"/>
          </w:tcPr>
          <w:p>
            <w:r>
              <w:t>The system shall expose the effective policy or policy status for authorized diagnostics.</w:t>
            </w:r>
          </w:p>
        </w:tc>
      </w:tr>
      <w:tr>
        <w:tc>
          <w:tcPr>
            <w:tcW w:type="dxa" w:w="4896"/>
          </w:tcPr>
          <w:p>
            <w:r>
              <w:t>FR-018</w:t>
            </w:r>
          </w:p>
        </w:tc>
        <w:tc>
          <w:tcPr>
            <w:tcW w:type="dxa" w:w="4896"/>
          </w:tcPr>
          <w:p>
            <w:r>
              <w:t>The system shall maintain a policy version or equivalent mechanism for consistent policy evaluation.</w:t>
            </w:r>
          </w:p>
        </w:tc>
      </w:tr>
    </w:tbl>
    <w:p>
      <w:pPr>
        <w:pStyle w:val="Heading2"/>
      </w:pPr>
      <w:r>
        <w:t>4.3 Effective Policy</w:t>
      </w:r>
    </w:p>
    <w:p>
      <w:r>
        <w:rPr>
          <w:b w:val="0"/>
        </w:rPr>
        <w:t>The framework shall derive an effective policy from Android's existing authorization state and the user-configured ALPF policy.</w:t>
      </w:r>
    </w:p>
    <w:p>
      <w:pPr>
        <w:ind w:left="360"/>
      </w:pPr>
      <w:r>
        <w:rPr>
          <w:rFonts w:ascii="Consolas" w:hAnsi="Consolas"/>
          <w:sz w:val="18"/>
        </w:rPr>
        <w:t>EffectivePolicy = Restrict(AndroidAuthorization, ALPFPolicy)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FR-020</w:t>
            </w:r>
          </w:p>
        </w:tc>
        <w:tc>
          <w:tcPr>
            <w:tcW w:type="dxa" w:w="4896"/>
          </w:tcPr>
          <w:p>
            <w:r>
              <w:t>The effective policy shall never grant more location privilege than Android authorization permits.</w:t>
            </w:r>
          </w:p>
        </w:tc>
      </w:tr>
      <w:tr>
        <w:tc>
          <w:tcPr>
            <w:tcW w:type="dxa" w:w="4896"/>
          </w:tcPr>
          <w:p>
            <w:r>
              <w:t>FR-021</w:t>
            </w:r>
          </w:p>
        </w:tc>
        <w:tc>
          <w:tcPr>
            <w:tcW w:type="dxa" w:w="4896"/>
          </w:tcPr>
          <w:p>
            <w:r>
              <w:t>A stricter ALPF policy shall be allowed to reduce access permitted by Android.</w:t>
            </w:r>
          </w:p>
        </w:tc>
      </w:tr>
      <w:tr>
        <w:tc>
          <w:tcPr>
            <w:tcW w:type="dxa" w:w="4896"/>
          </w:tcPr>
          <w:p>
            <w:r>
              <w:t>FR-022</w:t>
            </w:r>
          </w:p>
        </w:tc>
        <w:tc>
          <w:tcPr>
            <w:tcW w:type="dxa" w:w="4896"/>
          </w:tcPr>
          <w:p>
            <w:r>
              <w:t>Policy evaluation shall account for application context where the policy specifies contextual restrictions.</w:t>
            </w:r>
          </w:p>
        </w:tc>
      </w:tr>
      <w:tr>
        <w:tc>
          <w:tcPr>
            <w:tcW w:type="dxa" w:w="4896"/>
          </w:tcPr>
          <w:p>
            <w:r>
              <w:t>FR-023</w:t>
            </w:r>
          </w:p>
        </w:tc>
        <w:tc>
          <w:tcPr>
            <w:tcW w:type="dxa" w:w="4896"/>
          </w:tcPr>
          <w:p>
            <w:r>
              <w:t>Policy evaluation shall account for source-specific restrictions where the source is identifiable.</w:t>
            </w:r>
          </w:p>
        </w:tc>
      </w:tr>
    </w:tbl>
    <w:p>
      <w:pPr>
        <w:pStyle w:val="Heading2"/>
      </w:pPr>
      <w:r>
        <w:t>4.4 Spatial Policy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FR-030</w:t>
            </w:r>
          </w:p>
        </w:tc>
        <w:tc>
          <w:tcPr>
            <w:tcW w:type="dxa" w:w="4896"/>
          </w:tcPr>
          <w:p>
            <w:r>
              <w:t>The system shall support an exact-location policy state.</w:t>
            </w:r>
          </w:p>
        </w:tc>
      </w:tr>
      <w:tr>
        <w:tc>
          <w:tcPr>
            <w:tcW w:type="dxa" w:w="4896"/>
          </w:tcPr>
          <w:p>
            <w:r>
              <w:t>FR-031</w:t>
            </w:r>
          </w:p>
        </w:tc>
        <w:tc>
          <w:tcPr>
            <w:tcW w:type="dxa" w:w="4896"/>
          </w:tcPr>
          <w:p>
            <w:r>
              <w:t>The system shall support configurable spatial transformation policies.</w:t>
            </w:r>
          </w:p>
        </w:tc>
      </w:tr>
      <w:tr>
        <w:tc>
          <w:tcPr>
            <w:tcW w:type="dxa" w:w="4896"/>
          </w:tcPr>
          <w:p>
            <w:r>
              <w:t>FR-032</w:t>
            </w:r>
          </w:p>
        </w:tc>
        <w:tc>
          <w:tcPr>
            <w:tcW w:type="dxa" w:w="4896"/>
          </w:tcPr>
          <w:p>
            <w:r>
              <w:t>The system shall support grid-based spatial reduction.</w:t>
            </w:r>
          </w:p>
        </w:tc>
      </w:tr>
      <w:tr>
        <w:tc>
          <w:tcPr>
            <w:tcW w:type="dxa" w:w="4896"/>
          </w:tcPr>
          <w:p>
            <w:r>
              <w:t>FR-033</w:t>
            </w:r>
          </w:p>
        </w:tc>
        <w:tc>
          <w:tcPr>
            <w:tcW w:type="dxa" w:w="4896"/>
          </w:tcPr>
          <w:p>
            <w:r>
              <w:t>The system shall support radius-based spatial reduction.</w:t>
            </w:r>
          </w:p>
        </w:tc>
      </w:tr>
      <w:tr>
        <w:tc>
          <w:tcPr>
            <w:tcW w:type="dxa" w:w="4896"/>
          </w:tcPr>
          <w:p>
            <w:r>
              <w:t>FR-034</w:t>
            </w:r>
          </w:p>
        </w:tc>
        <w:tc>
          <w:tcPr>
            <w:tcW w:type="dxa" w:w="4896"/>
          </w:tcPr>
          <w:p>
            <w:r>
              <w:t>The system shall support city/region-level reduction where an appropriate mapping mechanism is defined.</w:t>
            </w:r>
          </w:p>
        </w:tc>
      </w:tr>
      <w:tr>
        <w:tc>
          <w:tcPr>
            <w:tcW w:type="dxa" w:w="4896"/>
          </w:tcPr>
          <w:p>
            <w:r>
              <w:t>FR-035</w:t>
            </w:r>
          </w:p>
        </w:tc>
        <w:tc>
          <w:tcPr>
            <w:tcW w:type="dxa" w:w="4896"/>
          </w:tcPr>
          <w:p>
            <w:r>
              <w:t>The system shall support location denial.</w:t>
            </w:r>
          </w:p>
        </w:tc>
      </w:tr>
      <w:tr>
        <w:tc>
          <w:tcPr>
            <w:tcW w:type="dxa" w:w="4896"/>
          </w:tcPr>
          <w:p>
            <w:r>
              <w:t>FR-036</w:t>
            </w:r>
          </w:p>
        </w:tc>
        <w:tc>
          <w:tcPr>
            <w:tcW w:type="dxa" w:w="4896"/>
          </w:tcPr>
          <w:p>
            <w:r>
              <w:t>Spatial transformation shall produce deterministic behavior for a given policy and input unless the selected transformation explicitly requires randomness.</w:t>
            </w:r>
          </w:p>
        </w:tc>
      </w:tr>
      <w:tr>
        <w:tc>
          <w:tcPr>
            <w:tcW w:type="dxa" w:w="4896"/>
          </w:tcPr>
          <w:p>
            <w:r>
              <w:t>FR-037</w:t>
            </w:r>
          </w:p>
        </w:tc>
        <w:tc>
          <w:tcPr>
            <w:tcW w:type="dxa" w:w="4896"/>
          </w:tcPr>
          <w:p>
            <w:r>
              <w:t>The system shall not expose unrestricted raw coordinates when a transformation policy applies.</w:t>
            </w:r>
          </w:p>
        </w:tc>
      </w:tr>
    </w:tbl>
    <w:p>
      <w:pPr>
        <w:pStyle w:val="Heading2"/>
      </w:pPr>
      <w:r>
        <w:t>4.5 Temporal Policy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FR-040</w:t>
            </w:r>
          </w:p>
        </w:tc>
        <w:tc>
          <w:tcPr>
            <w:tcW w:type="dxa" w:w="4896"/>
          </w:tcPr>
          <w:p>
            <w:r>
              <w:t>The system shall support a configurable minimum delivery interval.</w:t>
            </w:r>
          </w:p>
        </w:tc>
      </w:tr>
      <w:tr>
        <w:tc>
          <w:tcPr>
            <w:tcW w:type="dxa" w:w="4896"/>
          </w:tcPr>
          <w:p>
            <w:r>
              <w:t>FR-041</w:t>
            </w:r>
          </w:p>
        </w:tc>
        <w:tc>
          <w:tcPr>
            <w:tcW w:type="dxa" w:w="4896"/>
          </w:tcPr>
          <w:p>
            <w:r>
              <w:t>Temporal policy shall be enforced at location delivery, not only at request admission.</w:t>
            </w:r>
          </w:p>
        </w:tc>
      </w:tr>
      <w:tr>
        <w:tc>
          <w:tcPr>
            <w:tcW w:type="dxa" w:w="4896"/>
          </w:tcPr>
          <w:p>
            <w:r>
              <w:t>FR-042</w:t>
            </w:r>
          </w:p>
        </w:tc>
        <w:tc>
          <w:tcPr>
            <w:tcW w:type="dxa" w:w="4896"/>
          </w:tcPr>
          <w:p>
            <w:r>
              <w:t>The system shall track sufficient state to determine whether a delivery is permitted.</w:t>
            </w:r>
          </w:p>
        </w:tc>
      </w:tr>
      <w:tr>
        <w:tc>
          <w:tcPr>
            <w:tcW w:type="dxa" w:w="4896"/>
          </w:tcPr>
          <w:p>
            <w:r>
              <w:t>FR-043</w:t>
            </w:r>
          </w:p>
        </w:tc>
        <w:tc>
          <w:tcPr>
            <w:tcW w:type="dxa" w:w="4896"/>
          </w:tcPr>
          <w:p>
            <w:r>
              <w:t>The system shall handle policy changes without unintentionally granting a previously restricted delivery.</w:t>
            </w:r>
          </w:p>
        </w:tc>
      </w:tr>
      <w:tr>
        <w:tc>
          <w:tcPr>
            <w:tcW w:type="dxa" w:w="4896"/>
          </w:tcPr>
          <w:p>
            <w:r>
              <w:t>FR-044</w:t>
            </w:r>
          </w:p>
        </w:tc>
        <w:tc>
          <w:tcPr>
            <w:tcW w:type="dxa" w:w="4896"/>
          </w:tcPr>
          <w:p>
            <w:r>
              <w:t>The system shall define behavior for simultaneous or overlapping requests from the same application.</w:t>
            </w:r>
          </w:p>
        </w:tc>
      </w:tr>
      <w:tr>
        <w:tc>
          <w:tcPr>
            <w:tcW w:type="dxa" w:w="4896"/>
          </w:tcPr>
          <w:p>
            <w:r>
              <w:t>FR-045</w:t>
            </w:r>
          </w:p>
        </w:tc>
        <w:tc>
          <w:tcPr>
            <w:tcW w:type="dxa" w:w="4896"/>
          </w:tcPr>
          <w:p>
            <w:r>
              <w:t>The system shall define behavior for multiple location clients within the same application identity.</w:t>
            </w:r>
          </w:p>
        </w:tc>
      </w:tr>
    </w:tbl>
    <w:p>
      <w:pPr>
        <w:pStyle w:val="Heading2"/>
      </w:pPr>
      <w:r>
        <w:t>4.6 Context Policy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FR-050</w:t>
            </w:r>
          </w:p>
        </w:tc>
        <w:tc>
          <w:tcPr>
            <w:tcW w:type="dxa" w:w="4896"/>
          </w:tcPr>
          <w:p>
            <w:r>
              <w:t>The system shall support foreground-only location policy.</w:t>
            </w:r>
          </w:p>
        </w:tc>
      </w:tr>
      <w:tr>
        <w:tc>
          <w:tcPr>
            <w:tcW w:type="dxa" w:w="4896"/>
          </w:tcPr>
          <w:p>
            <w:r>
              <w:t>FR-051</w:t>
            </w:r>
          </w:p>
        </w:tc>
        <w:tc>
          <w:tcPr>
            <w:tcW w:type="dxa" w:w="4896"/>
          </w:tcPr>
          <w:p>
            <w:r>
              <w:t>The system shall support background denial or restriction.</w:t>
            </w:r>
          </w:p>
        </w:tc>
      </w:tr>
      <w:tr>
        <w:tc>
          <w:tcPr>
            <w:tcW w:type="dxa" w:w="4896"/>
          </w:tcPr>
          <w:p>
            <w:r>
              <w:t>FR-052</w:t>
            </w:r>
          </w:p>
        </w:tc>
        <w:tc>
          <w:tcPr>
            <w:tcW w:type="dxa" w:w="4896"/>
          </w:tcPr>
          <w:p>
            <w:r>
              <w:t>The system shall evaluate the relevant application context when a context-sensitive policy applies.</w:t>
            </w:r>
          </w:p>
        </w:tc>
      </w:tr>
      <w:tr>
        <w:tc>
          <w:tcPr>
            <w:tcW w:type="dxa" w:w="4896"/>
          </w:tcPr>
          <w:p>
            <w:r>
              <w:t>FR-053</w:t>
            </w:r>
          </w:p>
        </w:tc>
        <w:tc>
          <w:tcPr>
            <w:tcW w:type="dxa" w:w="4896"/>
          </w:tcPr>
          <w:p>
            <w:r>
              <w:t>Context transitions shall not create an unintended unrestricted delivery window.</w:t>
            </w:r>
          </w:p>
        </w:tc>
      </w:tr>
    </w:tbl>
    <w:p>
      <w:pPr>
        <w:pStyle w:val="Heading2"/>
      </w:pPr>
      <w:r>
        <w:t>4.7 Location Source Policy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FR-060</w:t>
            </w:r>
          </w:p>
        </w:tc>
        <w:tc>
          <w:tcPr>
            <w:tcW w:type="dxa" w:w="4896"/>
          </w:tcPr>
          <w:p>
            <w:r>
              <w:t>The policy model shall represent source restrictions.</w:t>
            </w:r>
          </w:p>
        </w:tc>
      </w:tr>
      <w:tr>
        <w:tc>
          <w:tcPr>
            <w:tcW w:type="dxa" w:w="4896"/>
          </w:tcPr>
          <w:p>
            <w:r>
              <w:t>FR-061</w:t>
            </w:r>
          </w:p>
        </w:tc>
        <w:tc>
          <w:tcPr>
            <w:tcW w:type="dxa" w:w="4896"/>
          </w:tcPr>
          <w:p>
            <w:r>
              <w:t>The framework shall distinguish source types where Android exposes sufficient information to do so.</w:t>
            </w:r>
          </w:p>
        </w:tc>
      </w:tr>
      <w:tr>
        <w:tc>
          <w:tcPr>
            <w:tcW w:type="dxa" w:w="4896"/>
          </w:tcPr>
          <w:p>
            <w:r>
              <w:t>FR-062</w:t>
            </w:r>
          </w:p>
        </w:tc>
        <w:tc>
          <w:tcPr>
            <w:tcW w:type="dxa" w:w="4896"/>
          </w:tcPr>
          <w:p>
            <w:r>
              <w:t>The implementation shall define an explicit policy behavior for fused location.</w:t>
            </w:r>
          </w:p>
        </w:tc>
      </w:tr>
      <w:tr>
        <w:tc>
          <w:tcPr>
            <w:tcW w:type="dxa" w:w="4896"/>
          </w:tcPr>
          <w:p>
            <w:r>
              <w:t>FR-063</w:t>
            </w:r>
          </w:p>
        </w:tc>
        <w:tc>
          <w:tcPr>
            <w:tcW w:type="dxa" w:w="4896"/>
          </w:tcPr>
          <w:p>
            <w:r>
              <w:t>The implementation shall define an explicit policy behavior for passive location.</w:t>
            </w:r>
          </w:p>
        </w:tc>
      </w:tr>
      <w:tr>
        <w:tc>
          <w:tcPr>
            <w:tcW w:type="dxa" w:w="4896"/>
          </w:tcPr>
          <w:p>
            <w:r>
              <w:t>FR-064</w:t>
            </w:r>
          </w:p>
        </w:tc>
        <w:tc>
          <w:tcPr>
            <w:tcW w:type="dxa" w:w="4896"/>
          </w:tcPr>
          <w:p>
            <w:r>
              <w:t>The implementation shall define an explicit policy behavior for GNSS-related interfaces included in the implementation scope.</w:t>
            </w:r>
          </w:p>
        </w:tc>
      </w:tr>
      <w:tr>
        <w:tc>
          <w:tcPr>
            <w:tcW w:type="dxa" w:w="4896"/>
          </w:tcPr>
          <w:p>
            <w:r>
              <w:t>FR-065</w:t>
            </w:r>
          </w:p>
        </w:tc>
        <w:tc>
          <w:tcPr>
            <w:tcW w:type="dxa" w:w="4896"/>
          </w:tcPr>
          <w:p>
            <w:r>
              <w:t>Wi-Fi, Bluetooth, and cellular location-derived channels shall have explicitly documented V1/V2 scope rather than being implicitly assumed to be controlled.</w:t>
            </w:r>
          </w:p>
        </w:tc>
      </w:tr>
    </w:tbl>
    <w:p>
      <w:pPr>
        <w:pStyle w:val="Heading2"/>
      </w:pPr>
      <w:r>
        <w:t>4.8 Cached and Passive Location</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FR-070</w:t>
            </w:r>
          </w:p>
        </w:tc>
        <w:tc>
          <w:tcPr>
            <w:tcW w:type="dxa" w:w="4896"/>
          </w:tcPr>
          <w:p>
            <w:r>
              <w:t>The system shall evaluate cached/last-known location against the effective policy before delivery where the enforcement point is within scope.</w:t>
            </w:r>
          </w:p>
        </w:tc>
      </w:tr>
      <w:tr>
        <w:tc>
          <w:tcPr>
            <w:tcW w:type="dxa" w:w="4896"/>
          </w:tcPr>
          <w:p>
            <w:r>
              <w:t>FR-071</w:t>
            </w:r>
          </w:p>
        </w:tc>
        <w:tc>
          <w:tcPr>
            <w:tcW w:type="dxa" w:w="4896"/>
          </w:tcPr>
          <w:p>
            <w:r>
              <w:t>The system shall prevent cached high-precision information from bypassing an active stricter policy.</w:t>
            </w:r>
          </w:p>
        </w:tc>
      </w:tr>
      <w:tr>
        <w:tc>
          <w:tcPr>
            <w:tcW w:type="dxa" w:w="4896"/>
          </w:tcPr>
          <w:p>
            <w:r>
              <w:t>FR-072</w:t>
            </w:r>
          </w:p>
        </w:tc>
        <w:tc>
          <w:tcPr>
            <w:tcW w:type="dxa" w:w="4896"/>
          </w:tcPr>
          <w:p>
            <w:r>
              <w:t>The system shall apply policy controls to passive location delivery within the declared enforcement boundary.</w:t>
            </w:r>
          </w:p>
        </w:tc>
      </w:tr>
    </w:tbl>
    <w:p>
      <w:pPr>
        <w:pStyle w:val="Heading2"/>
      </w:pPr>
      <w:r>
        <w:t>4.9 Geofencing</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FR-080</w:t>
            </w:r>
          </w:p>
        </w:tc>
        <w:tc>
          <w:tcPr>
            <w:tcW w:type="dxa" w:w="4896"/>
          </w:tcPr>
          <w:p>
            <w:r>
              <w:t>The system shall define a policy representation for geofence access.</w:t>
            </w:r>
          </w:p>
        </w:tc>
      </w:tr>
      <w:tr>
        <w:tc>
          <w:tcPr>
            <w:tcW w:type="dxa" w:w="4896"/>
          </w:tcPr>
          <w:p>
            <w:r>
              <w:t>FR-081</w:t>
            </w:r>
          </w:p>
        </w:tc>
        <w:tc>
          <w:tcPr>
            <w:tcW w:type="dxa" w:w="4896"/>
          </w:tcPr>
          <w:p>
            <w:r>
              <w:t>The implementation shall support denial or restriction of geofence operations where the selected enforcement point permits it.</w:t>
            </w:r>
          </w:p>
        </w:tc>
      </w:tr>
      <w:tr>
        <w:tc>
          <w:tcPr>
            <w:tcW w:type="dxa" w:w="4896"/>
          </w:tcPr>
          <w:p>
            <w:r>
              <w:t>FR-082</w:t>
            </w:r>
          </w:p>
        </w:tc>
        <w:tc>
          <w:tcPr>
            <w:tcW w:type="dxa" w:w="4896"/>
          </w:tcPr>
          <w:p>
            <w:r>
              <w:t>Geofence events shall be treated as potentially location-revealing information.</w:t>
            </w:r>
          </w:p>
        </w:tc>
      </w:tr>
      <w:tr>
        <w:tc>
          <w:tcPr>
            <w:tcW w:type="dxa" w:w="4896"/>
          </w:tcPr>
          <w:p>
            <w:r>
              <w:t>FR-083</w:t>
            </w:r>
          </w:p>
        </w:tc>
        <w:tc>
          <w:tcPr>
            <w:tcW w:type="dxa" w:w="4896"/>
          </w:tcPr>
          <w:p>
            <w:r>
              <w:t>The system shall document any geofence paths not covered by the implementation.</w:t>
            </w:r>
          </w:p>
        </w:tc>
      </w:tr>
    </w:tbl>
    <w:p>
      <w:pPr>
        <w:pStyle w:val="Heading2"/>
      </w:pPr>
      <w:r>
        <w:t>4.10 Metadata Sanitization</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FR-090</w:t>
            </w:r>
          </w:p>
        </w:tc>
        <w:tc>
          <w:tcPr>
            <w:tcW w:type="dxa" w:w="4896"/>
          </w:tcPr>
          <w:p>
            <w:r>
              <w:t>The system shall inspect location metadata affected by transformation.</w:t>
            </w:r>
          </w:p>
        </w:tc>
      </w:tr>
      <w:tr>
        <w:tc>
          <w:tcPr>
            <w:tcW w:type="dxa" w:w="4896"/>
          </w:tcPr>
          <w:p>
            <w:r>
              <w:t>FR-091</w:t>
            </w:r>
          </w:p>
        </w:tc>
        <w:tc>
          <w:tcPr>
            <w:tcW w:type="dxa" w:w="4896"/>
          </w:tcPr>
          <w:p>
            <w:r>
              <w:t>The system shall prevent accuracy metadata from falsely indicating greater precision than permitted.</w:t>
            </w:r>
          </w:p>
        </w:tc>
      </w:tr>
      <w:tr>
        <w:tc>
          <w:tcPr>
            <w:tcW w:type="dxa" w:w="4896"/>
          </w:tcPr>
          <w:p>
            <w:r>
              <w:t>FR-092</w:t>
            </w:r>
          </w:p>
        </w:tc>
        <w:tc>
          <w:tcPr>
            <w:tcW w:type="dxa" w:w="4896"/>
          </w:tcPr>
          <w:p>
            <w:r>
              <w:t>The system shall define handling for altitude, speed, bearing, timestamp, provider, elapsed-realtime information, and relevant extras.</w:t>
            </w:r>
          </w:p>
        </w:tc>
      </w:tr>
      <w:tr>
        <w:tc>
          <w:tcPr>
            <w:tcW w:type="dxa" w:w="4896"/>
          </w:tcPr>
          <w:p>
            <w:r>
              <w:t>FR-093</w:t>
            </w:r>
          </w:p>
        </w:tc>
        <w:tc>
          <w:tcPr>
            <w:tcW w:type="dxa" w:w="4896"/>
          </w:tcPr>
          <w:p>
            <w:r>
              <w:t>The transformation result and associated metadata shall be internally consistent with the effective policy.</w:t>
            </w:r>
          </w:p>
        </w:tc>
      </w:tr>
    </w:tbl>
    <w:p>
      <w:pPr>
        <w:pStyle w:val="Heading2"/>
      </w:pPr>
      <w:r>
        <w:t>4.11 Transformation Engine</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FR-100</w:t>
            </w:r>
          </w:p>
        </w:tc>
        <w:tc>
          <w:tcPr>
            <w:tcW w:type="dxa" w:w="4896"/>
          </w:tcPr>
          <w:p>
            <w:r>
              <w:t>Transformation shall be implemented as a separately testable component.</w:t>
            </w:r>
          </w:p>
        </w:tc>
      </w:tr>
      <w:tr>
        <w:tc>
          <w:tcPr>
            <w:tcW w:type="dxa" w:w="4896"/>
          </w:tcPr>
          <w:p>
            <w:r>
              <w:t>FR-101</w:t>
            </w:r>
          </w:p>
        </w:tc>
        <w:tc>
          <w:tcPr>
            <w:tcW w:type="dxa" w:w="4896"/>
          </w:tcPr>
          <w:p>
            <w:r>
              <w:t>The transformation engine shall accept a raw location and an applicable transformation policy.</w:t>
            </w:r>
          </w:p>
        </w:tc>
      </w:tr>
      <w:tr>
        <w:tc>
          <w:tcPr>
            <w:tcW w:type="dxa" w:w="4896"/>
          </w:tcPr>
          <w:p>
            <w:r>
              <w:t>FR-102</w:t>
            </w:r>
          </w:p>
        </w:tc>
        <w:tc>
          <w:tcPr>
            <w:tcW w:type="dxa" w:w="4896"/>
          </w:tcPr>
          <w:p>
            <w:r>
              <w:t>The transformation engine shall return a policy-compliant representation or an explicit failure.</w:t>
            </w:r>
          </w:p>
        </w:tc>
      </w:tr>
      <w:tr>
        <w:tc>
          <w:tcPr>
            <w:tcW w:type="dxa" w:w="4896"/>
          </w:tcPr>
          <w:p>
            <w:r>
              <w:t>FR-103</w:t>
            </w:r>
          </w:p>
        </w:tc>
        <w:tc>
          <w:tcPr>
            <w:tcW w:type="dxa" w:w="4896"/>
          </w:tcPr>
          <w:p>
            <w:r>
              <w:t>The transformation engine shall not silently fall back to unrestricted raw location after a transformation failure.</w:t>
            </w:r>
          </w:p>
        </w:tc>
      </w:tr>
      <w:tr>
        <w:tc>
          <w:tcPr>
            <w:tcW w:type="dxa" w:w="4896"/>
          </w:tcPr>
          <w:p>
            <w:r>
              <w:t>FR-104</w:t>
            </w:r>
          </w:p>
        </w:tc>
        <w:tc>
          <w:tcPr>
            <w:tcW w:type="dxa" w:w="4896"/>
          </w:tcPr>
          <w:p>
            <w:r>
              <w:t>The engine shall support deterministic test vectors for reproducible research experiments.</w:t>
            </w:r>
          </w:p>
        </w:tc>
      </w:tr>
    </w:tbl>
    <w:p>
      <w:pPr>
        <w:pStyle w:val="Heading2"/>
      </w:pPr>
      <w:r>
        <w:t>4.12 Policy Decisions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FR-110</w:t>
            </w:r>
          </w:p>
        </w:tc>
        <w:tc>
          <w:tcPr>
            <w:tcW w:type="dxa" w:w="4896"/>
          </w:tcPr>
          <w:p>
            <w:r>
              <w:t>The policy engine shall produce an explicit policy decision.</w:t>
            </w:r>
          </w:p>
        </w:tc>
      </w:tr>
      <w:tr>
        <w:tc>
          <w:tcPr>
            <w:tcW w:type="dxa" w:w="4896"/>
          </w:tcPr>
          <w:p>
            <w:r>
              <w:t>FR-111</w:t>
            </w:r>
          </w:p>
        </w:tc>
        <w:tc>
          <w:tcPr>
            <w:tcW w:type="dxa" w:w="4896"/>
          </w:tcPr>
          <w:p>
            <w:r>
              <w:t>Supported decision classes shall include DENY, ALLOW, ALLOW_TRANSFORM, and temporal restriction behavior.</w:t>
            </w:r>
          </w:p>
        </w:tc>
      </w:tr>
      <w:tr>
        <w:tc>
          <w:tcPr>
            <w:tcW w:type="dxa" w:w="4896"/>
          </w:tcPr>
          <w:p>
            <w:r>
              <w:t>FR-112</w:t>
            </w:r>
          </w:p>
        </w:tc>
        <w:tc>
          <w:tcPr>
            <w:tcW w:type="dxa" w:w="4896"/>
          </w:tcPr>
          <w:p>
            <w:r>
              <w:t>The decision shall be based on application identity, effective policy, request/delivery context, and source information available at the enforcement point.</w:t>
            </w:r>
          </w:p>
        </w:tc>
      </w:tr>
      <w:tr>
        <w:tc>
          <w:tcPr>
            <w:tcW w:type="dxa" w:w="4896"/>
          </w:tcPr>
          <w:p>
            <w:r>
              <w:t>FR-113</w:t>
            </w:r>
          </w:p>
        </w:tc>
        <w:tc>
          <w:tcPr>
            <w:tcW w:type="dxa" w:w="4896"/>
          </w:tcPr>
          <w:p>
            <w:r>
              <w:t>Policy evaluation shall be deterministic for equivalent inputs and policy state.</w:t>
            </w:r>
          </w:p>
        </w:tc>
      </w:tr>
    </w:tbl>
    <w:p>
      <w:pPr>
        <w:pStyle w:val="Heading2"/>
      </w:pPr>
      <w:r>
        <w:t>4.13 Control Service</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FR-120</w:t>
            </w:r>
          </w:p>
        </w:tc>
        <w:tc>
          <w:tcPr>
            <w:tcW w:type="dxa" w:w="4896"/>
          </w:tcPr>
          <w:p>
            <w:r>
              <w:t>The system service shall expose an authenticated policy-management interface to the Control APK.</w:t>
            </w:r>
          </w:p>
        </w:tc>
      </w:tr>
      <w:tr>
        <w:tc>
          <w:tcPr>
            <w:tcW w:type="dxa" w:w="4896"/>
          </w:tcPr>
          <w:p>
            <w:r>
              <w:t>FR-121</w:t>
            </w:r>
          </w:p>
        </w:tc>
        <w:tc>
          <w:tcPr>
            <w:tcW w:type="dxa" w:w="4896"/>
          </w:tcPr>
          <w:p>
            <w:r>
              <w:t>The system service shall validate and authorize policy operations.</w:t>
            </w:r>
          </w:p>
        </w:tc>
      </w:tr>
      <w:tr>
        <w:tc>
          <w:tcPr>
            <w:tcW w:type="dxa" w:w="4896"/>
          </w:tcPr>
          <w:p>
            <w:r>
              <w:t>FR-122</w:t>
            </w:r>
          </w:p>
        </w:tc>
        <w:tc>
          <w:tcPr>
            <w:tcW w:type="dxa" w:w="4896"/>
          </w:tcPr>
          <w:p>
            <w:r>
              <w:t>The system service shall not require the Control APK to receive raw location for ordinary policy enforcement.</w:t>
            </w:r>
          </w:p>
        </w:tc>
      </w:tr>
      <w:tr>
        <w:tc>
          <w:tcPr>
            <w:tcW w:type="dxa" w:w="4896"/>
          </w:tcPr>
          <w:p>
            <w:r>
              <w:t>FR-123</w:t>
            </w:r>
          </w:p>
        </w:tc>
        <w:tc>
          <w:tcPr>
            <w:tcW w:type="dxa" w:w="4896"/>
          </w:tcPr>
          <w:p>
            <w:r>
              <w:t>The service shall expose status and diagnostics appropriate for authorized clients.</w:t>
            </w:r>
          </w:p>
        </w:tc>
      </w:tr>
    </w:tbl>
    <w:p>
      <w:pPr>
        <w:pStyle w:val="Heading1"/>
      </w:pPr>
      <w:r>
        <w:t>5. Security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SEC-001</w:t>
            </w:r>
          </w:p>
        </w:tc>
        <w:tc>
          <w:tcPr>
            <w:tcW w:type="dxa" w:w="4896"/>
          </w:tcPr>
          <w:p>
            <w:r>
              <w:t>Unauthorized applications shall not modify ALPF policies.</w:t>
            </w:r>
          </w:p>
        </w:tc>
      </w:tr>
      <w:tr>
        <w:tc>
          <w:tcPr>
            <w:tcW w:type="dxa" w:w="4896"/>
          </w:tcPr>
          <w:p>
            <w:r>
              <w:t>SEC-002</w:t>
            </w:r>
          </w:p>
        </w:tc>
        <w:tc>
          <w:tcPr>
            <w:tcW w:type="dxa" w:w="4896"/>
          </w:tcPr>
          <w:p>
            <w:r>
              <w:t>An application shall not modify another application's policy.</w:t>
            </w:r>
          </w:p>
        </w:tc>
      </w:tr>
      <w:tr>
        <w:tc>
          <w:tcPr>
            <w:tcW w:type="dxa" w:w="4896"/>
          </w:tcPr>
          <w:p>
            <w:r>
              <w:t>SEC-003</w:t>
            </w:r>
          </w:p>
        </w:tc>
        <w:tc>
          <w:tcPr>
            <w:tcW w:type="dxa" w:w="4896"/>
          </w:tcPr>
          <w:p>
            <w:r>
              <w:t>The Control APK shall not be trusted solely because it is the user interface; the privileged service shall enforce authorization.</w:t>
            </w:r>
          </w:p>
        </w:tc>
      </w:tr>
      <w:tr>
        <w:tc>
          <w:tcPr>
            <w:tcW w:type="dxa" w:w="4896"/>
          </w:tcPr>
          <w:p>
            <w:r>
              <w:t>SEC-004</w:t>
            </w:r>
          </w:p>
        </w:tc>
        <w:tc>
          <w:tcPr>
            <w:tcW w:type="dxa" w:w="4896"/>
          </w:tcPr>
          <w:p>
            <w:r>
              <w:t>Application identity shall be derived from trusted Android identity context.</w:t>
            </w:r>
          </w:p>
        </w:tc>
      </w:tr>
      <w:tr>
        <w:tc>
          <w:tcPr>
            <w:tcW w:type="dxa" w:w="4896"/>
          </w:tcPr>
          <w:p>
            <w:r>
              <w:t>SEC-005</w:t>
            </w:r>
          </w:p>
        </w:tc>
        <w:tc>
          <w:tcPr>
            <w:tcW w:type="dxa" w:w="4896"/>
          </w:tcPr>
          <w:p>
            <w:r>
              <w:t>ALPF shall never elevate Android-denied location permissions.</w:t>
            </w:r>
          </w:p>
        </w:tc>
      </w:tr>
      <w:tr>
        <w:tc>
          <w:tcPr>
            <w:tcW w:type="dxa" w:w="4896"/>
          </w:tcPr>
          <w:p>
            <w:r>
              <w:t>SEC-006</w:t>
            </w:r>
          </w:p>
        </w:tc>
        <w:tc>
          <w:tcPr>
            <w:tcW w:type="dxa" w:w="4896"/>
          </w:tcPr>
          <w:p>
            <w:r>
              <w:t>A protected location delivery shall be evaluated against the effective policy before release.</w:t>
            </w:r>
          </w:p>
        </w:tc>
      </w:tr>
      <w:tr>
        <w:tc>
          <w:tcPr>
            <w:tcW w:type="dxa" w:w="4896"/>
          </w:tcPr>
          <w:p>
            <w:r>
              <w:t>SEC-007</w:t>
            </w:r>
          </w:p>
        </w:tc>
        <w:tc>
          <w:tcPr>
            <w:tcW w:type="dxa" w:w="4896"/>
          </w:tcPr>
          <w:p>
            <w:r>
              <w:t>Cached and passive location shall not bypass a stricter policy within the declared enforcement boundary.</w:t>
            </w:r>
          </w:p>
        </w:tc>
      </w:tr>
      <w:tr>
        <w:tc>
          <w:tcPr>
            <w:tcW w:type="dxa" w:w="4896"/>
          </w:tcPr>
          <w:p>
            <w:r>
              <w:t>SEC-008</w:t>
            </w:r>
          </w:p>
        </w:tc>
        <w:tc>
          <w:tcPr>
            <w:tcW w:type="dxa" w:w="4896"/>
          </w:tcPr>
          <w:p>
            <w:r>
              <w:t>Temporal restrictions shall apply to delivery.</w:t>
            </w:r>
          </w:p>
        </w:tc>
      </w:tr>
      <w:tr>
        <w:tc>
          <w:tcPr>
            <w:tcW w:type="dxa" w:w="4896"/>
          </w:tcPr>
          <w:p>
            <w:r>
              <w:t>SEC-009</w:t>
            </w:r>
          </w:p>
        </w:tc>
        <w:tc>
          <w:tcPr>
            <w:tcW w:type="dxa" w:w="4896"/>
          </w:tcPr>
          <w:p>
            <w:r>
              <w:t>Metadata shall not contradict the privacy level of a transformed location.</w:t>
            </w:r>
          </w:p>
        </w:tc>
      </w:tr>
      <w:tr>
        <w:tc>
          <w:tcPr>
            <w:tcW w:type="dxa" w:w="4896"/>
          </w:tcPr>
          <w:p>
            <w:r>
              <w:t>SEC-010</w:t>
            </w:r>
          </w:p>
        </w:tc>
        <w:tc>
          <w:tcPr>
            <w:tcW w:type="dxa" w:w="4896"/>
          </w:tcPr>
          <w:p>
            <w:r>
              <w:t>Policy state shall have integrity protection.</w:t>
            </w:r>
          </w:p>
        </w:tc>
      </w:tr>
      <w:tr>
        <w:tc>
          <w:tcPr>
            <w:tcW w:type="dxa" w:w="4896"/>
          </w:tcPr>
          <w:p>
            <w:r>
              <w:t>SEC-011</w:t>
            </w:r>
          </w:p>
        </w:tc>
        <w:tc>
          <w:tcPr>
            <w:tcW w:type="dxa" w:w="4896"/>
          </w:tcPr>
          <w:p>
            <w:r>
              <w:t>The system shall fail safely when a security-critical policy decision cannot be resolved.</w:t>
            </w:r>
          </w:p>
        </w:tc>
      </w:tr>
      <w:tr>
        <w:tc>
          <w:tcPr>
            <w:tcW w:type="dxa" w:w="4896"/>
          </w:tcPr>
          <w:p>
            <w:r>
              <w:t>SEC-012</w:t>
            </w:r>
          </w:p>
        </w:tc>
        <w:tc>
          <w:tcPr>
            <w:tcW w:type="dxa" w:w="4896"/>
          </w:tcPr>
          <w:p>
            <w:r>
              <w:t>Audit mechanisms shall not expose raw location to unauthorized components.</w:t>
            </w:r>
          </w:p>
        </w:tc>
      </w:tr>
      <w:tr>
        <w:tc>
          <w:tcPr>
            <w:tcW w:type="dxa" w:w="4896"/>
          </w:tcPr>
          <w:p>
            <w:r>
              <w:t>SEC-013</w:t>
            </w:r>
          </w:p>
        </w:tc>
        <w:tc>
          <w:tcPr>
            <w:tcW w:type="dxa" w:w="4896"/>
          </w:tcPr>
          <w:p>
            <w:r>
              <w:t>Policy versioning shall prevent inconsistent state from silently weakening enforcement.</w:t>
            </w:r>
          </w:p>
        </w:tc>
      </w:tr>
      <w:tr>
        <w:tc>
          <w:tcPr>
            <w:tcW w:type="dxa" w:w="4896"/>
          </w:tcPr>
          <w:p>
            <w:r>
              <w:t>SEC-014</w:t>
            </w:r>
          </w:p>
        </w:tc>
        <w:tc>
          <w:tcPr>
            <w:tcW w:type="dxa" w:w="4896"/>
          </w:tcPr>
          <w:p>
            <w:r>
              <w:t>The system shall explicitly document channels that remain outside its enforcement boundary.</w:t>
            </w:r>
          </w:p>
        </w:tc>
      </w:tr>
    </w:tbl>
    <w:p>
      <w:pPr>
        <w:pStyle w:val="Heading1"/>
      </w:pPr>
      <w:r>
        <w:t>6. Performance Requirements</w:t>
      </w:r>
    </w:p>
    <w:p>
      <w:r>
        <w:rPr>
          <w:b w:val="0"/>
        </w:rPr>
        <w:t>Exact numerical thresholds should be established after baseline measurements rather than invented prematurely. V1 therefore defines measurable performance requirements and a benchmarking methodology.</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PERF-001</w:t>
            </w:r>
          </w:p>
        </w:tc>
        <w:tc>
          <w:tcPr>
            <w:tcW w:type="dxa" w:w="4896"/>
          </w:tcPr>
          <w:p>
            <w:r>
              <w:t>Policy evaluation shall add measurable, benchmarkable latency to a location delivery path.</w:t>
            </w:r>
          </w:p>
        </w:tc>
      </w:tr>
      <w:tr>
        <w:tc>
          <w:tcPr>
            <w:tcW w:type="dxa" w:w="4896"/>
          </w:tcPr>
          <w:p>
            <w:r>
              <w:t>PERF-002</w:t>
            </w:r>
          </w:p>
        </w:tc>
        <w:tc>
          <w:tcPr>
            <w:tcW w:type="dxa" w:w="4896"/>
          </w:tcPr>
          <w:p>
            <w:r>
              <w:t>The implementation shall avoid unnecessary Binder round trips on the high-frequency location-delivery path.</w:t>
            </w:r>
          </w:p>
        </w:tc>
      </w:tr>
      <w:tr>
        <w:tc>
          <w:tcPr>
            <w:tcW w:type="dxa" w:w="4896"/>
          </w:tcPr>
          <w:p>
            <w:r>
              <w:t>PERF-003</w:t>
            </w:r>
          </w:p>
        </w:tc>
        <w:tc>
          <w:tcPr>
            <w:tcW w:type="dxa" w:w="4896"/>
          </w:tcPr>
          <w:p>
            <w:r>
              <w:t>Transformation latency shall be measured independently from policy-evaluation latency.</w:t>
            </w:r>
          </w:p>
        </w:tc>
      </w:tr>
      <w:tr>
        <w:tc>
          <w:tcPr>
            <w:tcW w:type="dxa" w:w="4896"/>
          </w:tcPr>
          <w:p>
            <w:r>
              <w:t>PERF-004</w:t>
            </w:r>
          </w:p>
        </w:tc>
        <w:tc>
          <w:tcPr>
            <w:tcW w:type="dxa" w:w="4896"/>
          </w:tcPr>
          <w:p>
            <w:r>
              <w:t>CPU overhead shall be measured under representative update frequencies.</w:t>
            </w:r>
          </w:p>
        </w:tc>
      </w:tr>
      <w:tr>
        <w:tc>
          <w:tcPr>
            <w:tcW w:type="dxa" w:w="4896"/>
          </w:tcPr>
          <w:p>
            <w:r>
              <w:t>PERF-005</w:t>
            </w:r>
          </w:p>
        </w:tc>
        <w:tc>
          <w:tcPr>
            <w:tcW w:type="dxa" w:w="4896"/>
          </w:tcPr>
          <w:p>
            <w:r>
              <w:t>Memory overhead shall be measured for the system service, policy engine, and supporting components.</w:t>
            </w:r>
          </w:p>
        </w:tc>
      </w:tr>
      <w:tr>
        <w:tc>
          <w:tcPr>
            <w:tcW w:type="dxa" w:w="4896"/>
          </w:tcPr>
          <w:p>
            <w:r>
              <w:t>PERF-006</w:t>
            </w:r>
          </w:p>
        </w:tc>
        <w:tc>
          <w:tcPr>
            <w:tcW w:type="dxa" w:w="4896"/>
          </w:tcPr>
          <w:p>
            <w:r>
              <w:t>Battery impact shall be measured for representative location workloads.</w:t>
            </w:r>
          </w:p>
        </w:tc>
      </w:tr>
      <w:tr>
        <w:tc>
          <w:tcPr>
            <w:tcW w:type="dxa" w:w="4896"/>
          </w:tcPr>
          <w:p>
            <w:r>
              <w:t>PERF-007</w:t>
            </w:r>
          </w:p>
        </w:tc>
        <w:tc>
          <w:tcPr>
            <w:tcW w:type="dxa" w:w="4896"/>
          </w:tcPr>
          <w:p>
            <w:r>
              <w:t>The system shall define and report performance overhead relative to an unmodified baseline.</w:t>
            </w:r>
          </w:p>
        </w:tc>
      </w:tr>
    </w:tbl>
    <w:p>
      <w:pPr>
        <w:pStyle w:val="Heading1"/>
      </w:pPr>
      <w:r>
        <w:t>7. Reliability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REL-001</w:t>
            </w:r>
          </w:p>
        </w:tc>
        <w:tc>
          <w:tcPr>
            <w:tcW w:type="dxa" w:w="4896"/>
          </w:tcPr>
          <w:p>
            <w:r>
              <w:t>Valid policy state shall survive service restart.</w:t>
            </w:r>
          </w:p>
        </w:tc>
      </w:tr>
      <w:tr>
        <w:tc>
          <w:tcPr>
            <w:tcW w:type="dxa" w:w="4896"/>
          </w:tcPr>
          <w:p>
            <w:r>
              <w:t>REL-002</w:t>
            </w:r>
          </w:p>
        </w:tc>
        <w:tc>
          <w:tcPr>
            <w:tcW w:type="dxa" w:w="4896"/>
          </w:tcPr>
          <w:p>
            <w:r>
              <w:t>Corrupt policy data shall not result in unrestricted location delivery.</w:t>
            </w:r>
          </w:p>
        </w:tc>
      </w:tr>
      <w:tr>
        <w:tc>
          <w:tcPr>
            <w:tcW w:type="dxa" w:w="4896"/>
          </w:tcPr>
          <w:p>
            <w:r>
              <w:t>REL-003</w:t>
            </w:r>
          </w:p>
        </w:tc>
        <w:tc>
          <w:tcPr>
            <w:tcW w:type="dxa" w:w="4896"/>
          </w:tcPr>
          <w:p>
            <w:r>
              <w:t>Transformation failure shall not silently release raw restricted location.</w:t>
            </w:r>
          </w:p>
        </w:tc>
      </w:tr>
      <w:tr>
        <w:tc>
          <w:tcPr>
            <w:tcW w:type="dxa" w:w="4896"/>
          </w:tcPr>
          <w:p>
            <w:r>
              <w:t>REL-004</w:t>
            </w:r>
          </w:p>
        </w:tc>
        <w:tc>
          <w:tcPr>
            <w:tcW w:type="dxa" w:w="4896"/>
          </w:tcPr>
          <w:p>
            <w:r>
              <w:t>Unknown application identity shall not inherit another application's permissive policy.</w:t>
            </w:r>
          </w:p>
        </w:tc>
      </w:tr>
      <w:tr>
        <w:tc>
          <w:tcPr>
            <w:tcW w:type="dxa" w:w="4896"/>
          </w:tcPr>
          <w:p>
            <w:r>
              <w:t>REL-005</w:t>
            </w:r>
          </w:p>
        </w:tc>
        <w:tc>
          <w:tcPr>
            <w:tcW w:type="dxa" w:w="4896"/>
          </w:tcPr>
          <w:p>
            <w:r>
              <w:t>Temporary policy-engine failure shall follow a documented safe fallback.</w:t>
            </w:r>
          </w:p>
        </w:tc>
      </w:tr>
      <w:tr>
        <w:tc>
          <w:tcPr>
            <w:tcW w:type="dxa" w:w="4896"/>
          </w:tcPr>
          <w:p>
            <w:r>
              <w:t>REL-006</w:t>
            </w:r>
          </w:p>
        </w:tc>
        <w:tc>
          <w:tcPr>
            <w:tcW w:type="dxa" w:w="4896"/>
          </w:tcPr>
          <w:p>
            <w:r>
              <w:t>The framework shall recover from ordinary service restart without requiring user reconfiguration.</w:t>
            </w:r>
          </w:p>
        </w:tc>
      </w:tr>
      <w:tr>
        <w:tc>
          <w:tcPr>
            <w:tcW w:type="dxa" w:w="4896"/>
          </w:tcPr>
          <w:p>
            <w:r>
              <w:t>REL-007</w:t>
            </w:r>
          </w:p>
        </w:tc>
        <w:tc>
          <w:tcPr>
            <w:tcW w:type="dxa" w:w="4896"/>
          </w:tcPr>
          <w:p>
            <w:r>
              <w:t>Policy updates shall be applied consistently and shall not create an undocumented TOCTOU window.</w:t>
            </w:r>
          </w:p>
        </w:tc>
      </w:tr>
    </w:tbl>
    <w:p>
      <w:pPr>
        <w:pStyle w:val="Heading1"/>
      </w:pPr>
      <w:r>
        <w:t>8. Compatibility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COMP-001</w:t>
            </w:r>
          </w:p>
        </w:tc>
        <w:tc>
          <w:tcPr>
            <w:tcW w:type="dxa" w:w="4896"/>
          </w:tcPr>
          <w:p>
            <w:r>
              <w:t>The implementation shall document the target Android versions.</w:t>
            </w:r>
          </w:p>
        </w:tc>
      </w:tr>
      <w:tr>
        <w:tc>
          <w:tcPr>
            <w:tcW w:type="dxa" w:w="4896"/>
          </w:tcPr>
          <w:p>
            <w:r>
              <w:t>COMP-002</w:t>
            </w:r>
          </w:p>
        </w:tc>
        <w:tc>
          <w:tcPr>
            <w:tcW w:type="dxa" w:w="4896"/>
          </w:tcPr>
          <w:p>
            <w:r>
              <w:t>Android-version-specific enforcement differences shall be recorded.</w:t>
            </w:r>
          </w:p>
        </w:tc>
      </w:tr>
      <w:tr>
        <w:tc>
          <w:tcPr>
            <w:tcW w:type="dxa" w:w="4896"/>
          </w:tcPr>
          <w:p>
            <w:r>
              <w:t>COMP-003</w:t>
            </w:r>
          </w:p>
        </w:tc>
        <w:tc>
          <w:tcPr>
            <w:tcW w:type="dxa" w:w="4896"/>
          </w:tcPr>
          <w:p>
            <w:r>
              <w:t>AOSP framework paths and Google Play Services-mediated paths shall be treated as separate compatibility questions.</w:t>
            </w:r>
          </w:p>
        </w:tc>
      </w:tr>
      <w:tr>
        <w:tc>
          <w:tcPr>
            <w:tcW w:type="dxa" w:w="4896"/>
          </w:tcPr>
          <w:p>
            <w:r>
              <w:t>COMP-004</w:t>
            </w:r>
          </w:p>
        </w:tc>
        <w:tc>
          <w:tcPr>
            <w:tcW w:type="dxa" w:w="4896"/>
          </w:tcPr>
          <w:p>
            <w:r>
              <w:t>The project shall not claim GMS enforcement without testing the relevant path.</w:t>
            </w:r>
          </w:p>
        </w:tc>
      </w:tr>
      <w:tr>
        <w:tc>
          <w:tcPr>
            <w:tcW w:type="dxa" w:w="4896"/>
          </w:tcPr>
          <w:p>
            <w:r>
              <w:t>COMP-005</w:t>
            </w:r>
          </w:p>
        </w:tc>
        <w:tc>
          <w:tcPr>
            <w:tcW w:type="dxa" w:w="4896"/>
          </w:tcPr>
          <w:p>
            <w:r>
              <w:t>The prototype implementation shall document APIs and framework internals that differ across target Android releases.</w:t>
            </w:r>
          </w:p>
        </w:tc>
      </w:tr>
      <w:tr>
        <w:tc>
          <w:tcPr>
            <w:tcW w:type="dxa" w:w="4896"/>
          </w:tcPr>
          <w:p>
            <w:r>
              <w:t>COMP-006</w:t>
            </w:r>
          </w:p>
        </w:tc>
        <w:tc>
          <w:tcPr>
            <w:tcW w:type="dxa" w:w="4896"/>
          </w:tcPr>
          <w:p>
            <w:r>
              <w:t>Unsupported paths shall be explicitly reported rather than silently assumed to work.</w:t>
            </w:r>
          </w:p>
        </w:tc>
      </w:tr>
    </w:tbl>
    <w:p>
      <w:pPr>
        <w:pStyle w:val="Heading1"/>
      </w:pPr>
      <w:r>
        <w:t>9. Usability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USE-001</w:t>
            </w:r>
          </w:p>
        </w:tc>
        <w:tc>
          <w:tcPr>
            <w:tcW w:type="dxa" w:w="4896"/>
          </w:tcPr>
          <w:p>
            <w:r>
              <w:t>The Control APK shall present application policies in an understandable form.</w:t>
            </w:r>
          </w:p>
        </w:tc>
      </w:tr>
      <w:tr>
        <w:tc>
          <w:tcPr>
            <w:tcW w:type="dxa" w:w="4896"/>
          </w:tcPr>
          <w:p>
            <w:r>
              <w:t>USE-002</w:t>
            </w:r>
          </w:p>
        </w:tc>
        <w:tc>
          <w:tcPr>
            <w:tcW w:type="dxa" w:w="4896"/>
          </w:tcPr>
          <w:p>
            <w:r>
              <w:t>The user shall be able to identify the current policy for an application.</w:t>
            </w:r>
          </w:p>
        </w:tc>
      </w:tr>
      <w:tr>
        <w:tc>
          <w:tcPr>
            <w:tcW w:type="dxa" w:w="4896"/>
          </w:tcPr>
          <w:p>
            <w:r>
              <w:t>USE-003</w:t>
            </w:r>
          </w:p>
        </w:tc>
        <w:tc>
          <w:tcPr>
            <w:tcW w:type="dxa" w:w="4896"/>
          </w:tcPr>
          <w:p>
            <w:r>
              <w:t>The user shall be able to distinguish Android permission state from ALPF restriction state.</w:t>
            </w:r>
          </w:p>
        </w:tc>
      </w:tr>
      <w:tr>
        <w:tc>
          <w:tcPr>
            <w:tcW w:type="dxa" w:w="4896"/>
          </w:tcPr>
          <w:p>
            <w:r>
              <w:t>USE-004</w:t>
            </w:r>
          </w:p>
        </w:tc>
        <w:tc>
          <w:tcPr>
            <w:tcW w:type="dxa" w:w="4896"/>
          </w:tcPr>
          <w:p>
            <w:r>
              <w:t>The UI shall communicate when a feature is outside the current enforcement scope.</w:t>
            </w:r>
          </w:p>
        </w:tc>
      </w:tr>
      <w:tr>
        <w:tc>
          <w:tcPr>
            <w:tcW w:type="dxa" w:w="4896"/>
          </w:tcPr>
          <w:p>
            <w:r>
              <w:t>USE-005</w:t>
            </w:r>
          </w:p>
        </w:tc>
        <w:tc>
          <w:tcPr>
            <w:tcW w:type="dxa" w:w="4896"/>
          </w:tcPr>
          <w:p>
            <w:r>
              <w:t>The UI shall avoid presenting a policy as providing stronger guarantees than the implementation actually provides.</w:t>
            </w:r>
          </w:p>
        </w:tc>
      </w:tr>
    </w:tbl>
    <w:p>
      <w:pPr>
        <w:pStyle w:val="Heading1"/>
      </w:pPr>
      <w:r>
        <w:t>10. Auditability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AUD-001</w:t>
            </w:r>
          </w:p>
        </w:tc>
        <w:tc>
          <w:tcPr>
            <w:tcW w:type="dxa" w:w="4896"/>
          </w:tcPr>
          <w:p>
            <w:r>
              <w:t>The system shall expose authorized diagnostic information about policy decisions.</w:t>
            </w:r>
          </w:p>
        </w:tc>
      </w:tr>
      <w:tr>
        <w:tc>
          <w:tcPr>
            <w:tcW w:type="dxa" w:w="4896"/>
          </w:tcPr>
          <w:p>
            <w:r>
              <w:t>AUD-002</w:t>
            </w:r>
          </w:p>
        </w:tc>
        <w:tc>
          <w:tcPr>
            <w:tcW w:type="dxa" w:w="4896"/>
          </w:tcPr>
          <w:p>
            <w:r>
              <w:t>Diagnostics shall distinguish policy decision, transformation, temporal restriction, and denial outcomes.</w:t>
            </w:r>
          </w:p>
        </w:tc>
      </w:tr>
      <w:tr>
        <w:tc>
          <w:tcPr>
            <w:tcW w:type="dxa" w:w="4896"/>
          </w:tcPr>
          <w:p>
            <w:r>
              <w:t>AUD-003</w:t>
            </w:r>
          </w:p>
        </w:tc>
        <w:tc>
          <w:tcPr>
            <w:tcW w:type="dxa" w:w="4896"/>
          </w:tcPr>
          <w:p>
            <w:r>
              <w:t>Test builds shall provide sufficient instrumentation to reconstruct enforcement behavior.</w:t>
            </w:r>
          </w:p>
        </w:tc>
      </w:tr>
      <w:tr>
        <w:tc>
          <w:tcPr>
            <w:tcW w:type="dxa" w:w="4896"/>
          </w:tcPr>
          <w:p>
            <w:r>
              <w:t>AUD-004</w:t>
            </w:r>
          </w:p>
        </w:tc>
        <w:tc>
          <w:tcPr>
            <w:tcW w:type="dxa" w:w="4896"/>
          </w:tcPr>
          <w:p>
            <w:r>
              <w:t>Audit records shall avoid unnecessary raw-location retention.</w:t>
            </w:r>
          </w:p>
        </w:tc>
      </w:tr>
      <w:tr>
        <w:tc>
          <w:tcPr>
            <w:tcW w:type="dxa" w:w="4896"/>
          </w:tcPr>
          <w:p>
            <w:r>
              <w:t>AUD-005</w:t>
            </w:r>
          </w:p>
        </w:tc>
        <w:tc>
          <w:tcPr>
            <w:tcW w:type="dxa" w:w="4896"/>
          </w:tcPr>
          <w:p>
            <w:r>
              <w:t>Research experiments shall record Android version/build and policy version.</w:t>
            </w:r>
          </w:p>
        </w:tc>
      </w:tr>
    </w:tbl>
    <w:p>
      <w:pPr>
        <w:pStyle w:val="Heading1"/>
      </w:pPr>
      <w:r>
        <w:t>11. Research Evaluation Requirements</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Requirement</w:t>
            </w:r>
          </w:p>
        </w:tc>
      </w:tr>
      <w:tr>
        <w:tc>
          <w:tcPr>
            <w:tcW w:type="dxa" w:w="4896"/>
          </w:tcPr>
          <w:p>
            <w:r>
              <w:t>RES-001</w:t>
            </w:r>
          </w:p>
        </w:tc>
        <w:tc>
          <w:tcPr>
            <w:tcW w:type="dxa" w:w="4896"/>
          </w:tcPr>
          <w:p>
            <w:r>
              <w:t>The implementation shall support a baseline with unrestricted precise location.</w:t>
            </w:r>
          </w:p>
        </w:tc>
      </w:tr>
      <w:tr>
        <w:tc>
          <w:tcPr>
            <w:tcW w:type="dxa" w:w="4896"/>
          </w:tcPr>
          <w:p>
            <w:r>
              <w:t>RES-002</w:t>
            </w:r>
          </w:p>
        </w:tc>
        <w:tc>
          <w:tcPr>
            <w:tcW w:type="dxa" w:w="4896"/>
          </w:tcPr>
          <w:p>
            <w:r>
              <w:t>The evaluation shall include Android approximate-location behavior as an appropriate comparison baseline.</w:t>
            </w:r>
          </w:p>
        </w:tc>
      </w:tr>
      <w:tr>
        <w:tc>
          <w:tcPr>
            <w:tcW w:type="dxa" w:w="4896"/>
          </w:tcPr>
          <w:p>
            <w:r>
              <w:t>RES-003</w:t>
            </w:r>
          </w:p>
        </w:tc>
        <w:tc>
          <w:tcPr>
            <w:tcW w:type="dxa" w:w="4896"/>
          </w:tcPr>
          <w:p>
            <w:r>
              <w:t>The evaluation shall measure spatial precision reduction.</w:t>
            </w:r>
          </w:p>
        </w:tc>
      </w:tr>
      <w:tr>
        <w:tc>
          <w:tcPr>
            <w:tcW w:type="dxa" w:w="4896"/>
          </w:tcPr>
          <w:p>
            <w:r>
              <w:t>RES-004</w:t>
            </w:r>
          </w:p>
        </w:tc>
        <w:tc>
          <w:tcPr>
            <w:tcW w:type="dxa" w:w="4896"/>
          </w:tcPr>
          <w:p>
            <w:r>
              <w:t>The evaluation shall measure temporal delivery reduction.</w:t>
            </w:r>
          </w:p>
        </w:tc>
      </w:tr>
      <w:tr>
        <w:tc>
          <w:tcPr>
            <w:tcW w:type="dxa" w:w="4896"/>
          </w:tcPr>
          <w:p>
            <w:r>
              <w:t>RES-005</w:t>
            </w:r>
          </w:p>
        </w:tc>
        <w:tc>
          <w:tcPr>
            <w:tcW w:type="dxa" w:w="4896"/>
          </w:tcPr>
          <w:p>
            <w:r>
              <w:t>The evaluation shall test metadata consistency.</w:t>
            </w:r>
          </w:p>
        </w:tc>
      </w:tr>
      <w:tr>
        <w:tc>
          <w:tcPr>
            <w:tcW w:type="dxa" w:w="4896"/>
          </w:tcPr>
          <w:p>
            <w:r>
              <w:t>RES-006</w:t>
            </w:r>
          </w:p>
        </w:tc>
        <w:tc>
          <w:tcPr>
            <w:tcW w:type="dxa" w:w="4896"/>
          </w:tcPr>
          <w:p>
            <w:r>
              <w:t>The evaluation shall attempt defined bypass paths.</w:t>
            </w:r>
          </w:p>
        </w:tc>
      </w:tr>
      <w:tr>
        <w:tc>
          <w:tcPr>
            <w:tcW w:type="dxa" w:w="4896"/>
          </w:tcPr>
          <w:p>
            <w:r>
              <w:t>RES-007</w:t>
            </w:r>
          </w:p>
        </w:tc>
        <w:tc>
          <w:tcPr>
            <w:tcW w:type="dxa" w:w="4896"/>
          </w:tcPr>
          <w:p>
            <w:r>
              <w:t>The evaluation shall measure application utility.</w:t>
            </w:r>
          </w:p>
        </w:tc>
      </w:tr>
      <w:tr>
        <w:tc>
          <w:tcPr>
            <w:tcW w:type="dxa" w:w="4896"/>
          </w:tcPr>
          <w:p>
            <w:r>
              <w:t>RES-008</w:t>
            </w:r>
          </w:p>
        </w:tc>
        <w:tc>
          <w:tcPr>
            <w:tcW w:type="dxa" w:w="4896"/>
          </w:tcPr>
          <w:p>
            <w:r>
              <w:t>The evaluation shall measure latency, CPU, memory, and battery overhead.</w:t>
            </w:r>
          </w:p>
        </w:tc>
      </w:tr>
      <w:tr>
        <w:tc>
          <w:tcPr>
            <w:tcW w:type="dxa" w:w="4896"/>
          </w:tcPr>
          <w:p>
            <w:r>
              <w:t>RES-009</w:t>
            </w:r>
          </w:p>
        </w:tc>
        <w:tc>
          <w:tcPr>
            <w:tcW w:type="dxa" w:w="4896"/>
          </w:tcPr>
          <w:p>
            <w:r>
              <w:t>The evaluation shall document unsupported or partially controlled paths.</w:t>
            </w:r>
          </w:p>
        </w:tc>
      </w:tr>
      <w:tr>
        <w:tc>
          <w:tcPr>
            <w:tcW w:type="dxa" w:w="4896"/>
          </w:tcPr>
          <w:p>
            <w:r>
              <w:t>RES-010</w:t>
            </w:r>
          </w:p>
        </w:tc>
        <w:tc>
          <w:tcPr>
            <w:tcW w:type="dxa" w:w="4896"/>
          </w:tcPr>
          <w:p>
            <w:r>
              <w:t>Experiments shall be reproducible from recorded policy, application identity, Android build, test case, and expected outcome.</w:t>
            </w:r>
          </w:p>
        </w:tc>
      </w:tr>
    </w:tbl>
    <w:p>
      <w:pPr>
        <w:pStyle w:val="Heading1"/>
      </w:pPr>
      <w:r>
        <w:t>12. Data Requirements</w:t>
      </w:r>
    </w:p>
    <w:p>
      <w:r>
        <w:rPr>
          <w:b w:val="0"/>
        </w:rPr>
        <w:t>The policy data model shall represent at least:</w:t>
      </w:r>
    </w:p>
    <w:p>
      <w:pPr>
        <w:pStyle w:val="ListBullet"/>
      </w:pPr>
      <w:r>
        <w:t>Application identity binding</w:t>
      </w:r>
    </w:p>
    <w:p>
      <w:pPr>
        <w:pStyle w:val="ListBullet"/>
      </w:pPr>
      <w:r>
        <w:t>Spatial policy</w:t>
      </w:r>
    </w:p>
    <w:p>
      <w:pPr>
        <w:pStyle w:val="ListBullet"/>
      </w:pPr>
      <w:r>
        <w:t>Temporal policy</w:t>
      </w:r>
    </w:p>
    <w:p>
      <w:pPr>
        <w:pStyle w:val="ListBullet"/>
      </w:pPr>
      <w:r>
        <w:t>Foreground/background policy</w:t>
      </w:r>
    </w:p>
    <w:p>
      <w:pPr>
        <w:pStyle w:val="ListBullet"/>
      </w:pPr>
      <w:r>
        <w:t>Source policy</w:t>
      </w:r>
    </w:p>
    <w:p>
      <w:pPr>
        <w:pStyle w:val="ListBullet"/>
      </w:pPr>
      <w:r>
        <w:t>Geofence policy</w:t>
      </w:r>
    </w:p>
    <w:p>
      <w:pPr>
        <w:pStyle w:val="ListBullet"/>
      </w:pPr>
      <w:r>
        <w:t>Passive-location policy</w:t>
      </w:r>
    </w:p>
    <w:p>
      <w:pPr>
        <w:pStyle w:val="ListBullet"/>
      </w:pPr>
      <w:r>
        <w:t>Transformation policy</w:t>
      </w:r>
    </w:p>
    <w:p>
      <w:pPr>
        <w:pStyle w:val="ListBullet"/>
      </w:pPr>
      <w:r>
        <w:t>Policy version</w:t>
      </w:r>
    </w:p>
    <w:p>
      <w:pPr>
        <w:pStyle w:val="ListBullet"/>
      </w:pPr>
      <w:r>
        <w:t>Optional research-only metadata such as experiment identifiers</w:t>
      </w:r>
    </w:p>
    <w:p>
      <w:r>
        <w:rPr>
          <w:b w:val="0"/>
        </w:rPr>
        <w:t>The final schema will be specified in a later Data Model &amp; Policy Schema document.</w:t>
      </w:r>
    </w:p>
    <w:p>
      <w:pPr>
        <w:pStyle w:val="Heading1"/>
      </w:pPr>
      <w:r>
        <w:t>13. Initial Policy Semantics</w:t>
      </w:r>
    </w:p>
    <w:p>
      <w:pPr>
        <w:ind w:left="360"/>
      </w:pPr>
      <w:r>
        <w:rPr>
          <w:rFonts w:ascii="Consolas" w:hAnsi="Consolas"/>
          <w:sz w:val="18"/>
        </w:rPr>
        <w:t>ApplicationPolicy</w:t>
        <w:br/>
        <w:t xml:space="preserve">    ├── identity</w:t>
        <w:br/>
        <w:t xml:space="preserve">    ├── spatial</w:t>
        <w:br/>
        <w:t xml:space="preserve">    ├── temporal</w:t>
        <w:br/>
        <w:t xml:space="preserve">    ├── context</w:t>
        <w:br/>
        <w:t xml:space="preserve">    ├── sources</w:t>
        <w:br/>
        <w:t xml:space="preserve">    ├── geofence</w:t>
        <w:br/>
        <w:t xml:space="preserve">    ├── passive</w:t>
        <w:br/>
        <w:t xml:space="preserve">    ├── transformation</w:t>
        <w:br/>
        <w:t xml:space="preserve">    └── policyVersion</w:t>
      </w:r>
    </w:p>
    <w:p>
      <w:r>
        <w:rPr>
          <w:b w:val="0"/>
        </w:rPr>
        <w:t>A policy may restrict one or more dimensions simultaneously. The effective policy must always remain within the Android permission boundary.</w:t>
      </w:r>
    </w:p>
    <w:p>
      <w:pPr>
        <w:pStyle w:val="Heading1"/>
      </w:pPr>
      <w:r>
        <w:t>14. Error Handling Requirements</w:t>
      </w:r>
    </w:p>
    <w:tbl>
      <w:tblPr>
        <w:tblStyle w:val="TableGrid"/>
        <w:tblW w:type="auto" w:w="0"/>
        <w:tblLook w:firstColumn="1" w:firstRow="1" w:lastColumn="0" w:lastRow="0" w:noHBand="0" w:noVBand="1" w:val="04A0"/>
      </w:tblPr>
      <w:tblGrid>
        <w:gridCol w:w="4896"/>
        <w:gridCol w:w="4896"/>
      </w:tblGrid>
      <w:tr>
        <w:tc>
          <w:tcPr>
            <w:tcW w:type="dxa" w:w="4896"/>
          </w:tcPr>
          <w:p>
            <w:r>
              <w:t>Condition</w:t>
            </w:r>
          </w:p>
        </w:tc>
        <w:tc>
          <w:tcPr>
            <w:tcW w:type="dxa" w:w="4896"/>
          </w:tcPr>
          <w:p>
            <w:r>
              <w:t>Required Behavior</w:t>
            </w:r>
          </w:p>
        </w:tc>
      </w:tr>
      <w:tr>
        <w:tc>
          <w:tcPr>
            <w:tcW w:type="dxa" w:w="4896"/>
          </w:tcPr>
          <w:p>
            <w:r>
              <w:t>Invalid policy</w:t>
            </w:r>
          </w:p>
        </w:tc>
        <w:tc>
          <w:tcPr>
            <w:tcW w:type="dxa" w:w="4896"/>
          </w:tcPr>
          <w:p>
            <w:r>
              <w:t>Reject update; preserve last valid state</w:t>
            </w:r>
          </w:p>
        </w:tc>
      </w:tr>
      <w:tr>
        <w:tc>
          <w:tcPr>
            <w:tcW w:type="dxa" w:w="4896"/>
          </w:tcPr>
          <w:p>
            <w:r>
              <w:t>Unauthorized policy request</w:t>
            </w:r>
          </w:p>
        </w:tc>
        <w:tc>
          <w:tcPr>
            <w:tcW w:type="dxa" w:w="4896"/>
          </w:tcPr>
          <w:p>
            <w:r>
              <w:t>Reject and record an appropriate diagnostic event</w:t>
            </w:r>
          </w:p>
        </w:tc>
      </w:tr>
      <w:tr>
        <w:tc>
          <w:tcPr>
            <w:tcW w:type="dxa" w:w="4896"/>
          </w:tcPr>
          <w:p>
            <w:r>
              <w:t>Unknown application identity</w:t>
            </w:r>
          </w:p>
        </w:tc>
        <w:tc>
          <w:tcPr>
            <w:tcW w:type="dxa" w:w="4896"/>
          </w:tcPr>
          <w:p>
            <w:r>
              <w:t>Do not select a permissive policy</w:t>
            </w:r>
          </w:p>
        </w:tc>
      </w:tr>
      <w:tr>
        <w:tc>
          <w:tcPr>
            <w:tcW w:type="dxa" w:w="4896"/>
          </w:tcPr>
          <w:p>
            <w:r>
              <w:t>Transformation failure</w:t>
            </w:r>
          </w:p>
        </w:tc>
        <w:tc>
          <w:tcPr>
            <w:tcW w:type="dxa" w:w="4896"/>
          </w:tcPr>
          <w:p>
            <w:r>
              <w:t>Apply documented safe restriction</w:t>
            </w:r>
          </w:p>
        </w:tc>
      </w:tr>
      <w:tr>
        <w:tc>
          <w:tcPr>
            <w:tcW w:type="dxa" w:w="4896"/>
          </w:tcPr>
          <w:p>
            <w:r>
              <w:t>Temporal state unavailable</w:t>
            </w:r>
          </w:p>
        </w:tc>
        <w:tc>
          <w:tcPr>
            <w:tcW w:type="dxa" w:w="4896"/>
          </w:tcPr>
          <w:p>
            <w:r>
              <w:t>Use defined safe fallback</w:t>
            </w:r>
          </w:p>
        </w:tc>
      </w:tr>
      <w:tr>
        <w:tc>
          <w:tcPr>
            <w:tcW w:type="dxa" w:w="4896"/>
          </w:tcPr>
          <w:p>
            <w:r>
              <w:t>Policy storage unavailable</w:t>
            </w:r>
          </w:p>
        </w:tc>
        <w:tc>
          <w:tcPr>
            <w:tcW w:type="dxa" w:w="4896"/>
          </w:tcPr>
          <w:p>
            <w:r>
              <w:t>Do not silently revert to unrestricted access</w:t>
            </w:r>
          </w:p>
        </w:tc>
      </w:tr>
      <w:tr>
        <w:tc>
          <w:tcPr>
            <w:tcW w:type="dxa" w:w="4896"/>
          </w:tcPr>
          <w:p>
            <w:r>
              <w:t>Unsupported API path</w:t>
            </w:r>
          </w:p>
        </w:tc>
        <w:tc>
          <w:tcPr>
            <w:tcW w:type="dxa" w:w="4896"/>
          </w:tcPr>
          <w:p>
            <w:r>
              <w:t>Expose/document the unsupported state</w:t>
            </w:r>
          </w:p>
        </w:tc>
      </w:tr>
    </w:tbl>
    <w:p>
      <w:pPr>
        <w:pStyle w:val="Heading1"/>
      </w:pPr>
      <w:r>
        <w:t>15. Scope Priorities</w:t>
      </w:r>
    </w:p>
    <w:tbl>
      <w:tblPr>
        <w:tblStyle w:val="TableGrid"/>
        <w:tblW w:type="auto" w:w="0"/>
        <w:tblLook w:firstColumn="1" w:firstRow="1" w:lastColumn="0" w:lastRow="0" w:noHBand="0" w:noVBand="1" w:val="04A0"/>
      </w:tblPr>
      <w:tblGrid>
        <w:gridCol w:w="3264"/>
        <w:gridCol w:w="3264"/>
        <w:gridCol w:w="3264"/>
      </w:tblGrid>
      <w:tr>
        <w:tc>
          <w:tcPr>
            <w:tcW w:type="dxa" w:w="3264"/>
          </w:tcPr>
          <w:p>
            <w:r>
              <w:t>Priority</w:t>
            </w:r>
          </w:p>
        </w:tc>
        <w:tc>
          <w:tcPr>
            <w:tcW w:type="dxa" w:w="3264"/>
          </w:tcPr>
          <w:p>
            <w:r>
              <w:t>Area</w:t>
            </w:r>
          </w:p>
        </w:tc>
        <w:tc>
          <w:tcPr>
            <w:tcW w:type="dxa" w:w="3264"/>
          </w:tcPr>
          <w:p>
            <w:r>
              <w:t>Requirement Strategy</w:t>
            </w:r>
          </w:p>
        </w:tc>
      </w:tr>
      <w:tr>
        <w:tc>
          <w:tcPr>
            <w:tcW w:type="dxa" w:w="3264"/>
          </w:tcPr>
          <w:p>
            <w:r>
              <w:t>P0</w:t>
            </w:r>
          </w:p>
        </w:tc>
        <w:tc>
          <w:tcPr>
            <w:tcW w:type="dxa" w:w="3264"/>
          </w:tcPr>
          <w:p>
            <w:r>
              <w:t>Direct framework location</w:t>
            </w:r>
          </w:p>
        </w:tc>
        <w:tc>
          <w:tcPr>
            <w:tcW w:type="dxa" w:w="3264"/>
          </w:tcPr>
          <w:p>
            <w:r>
              <w:t>Must be controlled and tested</w:t>
            </w:r>
          </w:p>
        </w:tc>
      </w:tr>
      <w:tr>
        <w:tc>
          <w:tcPr>
            <w:tcW w:type="dxa" w:w="3264"/>
          </w:tcPr>
          <w:p>
            <w:r>
              <w:t>P0</w:t>
            </w:r>
          </w:p>
        </w:tc>
        <w:tc>
          <w:tcPr>
            <w:tcW w:type="dxa" w:w="3264"/>
          </w:tcPr>
          <w:p>
            <w:r>
              <w:t>Policy integrity and identity</w:t>
            </w:r>
          </w:p>
        </w:tc>
        <w:tc>
          <w:tcPr>
            <w:tcW w:type="dxa" w:w="3264"/>
          </w:tcPr>
          <w:p>
            <w:r>
              <w:t>Must be secure before prototype is considered valid</w:t>
            </w:r>
          </w:p>
        </w:tc>
      </w:tr>
      <w:tr>
        <w:tc>
          <w:tcPr>
            <w:tcW w:type="dxa" w:w="3264"/>
          </w:tcPr>
          <w:p>
            <w:r>
              <w:t>P0</w:t>
            </w:r>
          </w:p>
        </w:tc>
        <w:tc>
          <w:tcPr>
            <w:tcW w:type="dxa" w:w="3264"/>
          </w:tcPr>
          <w:p>
            <w:r>
              <w:t>Spatial transformation</w:t>
            </w:r>
          </w:p>
        </w:tc>
        <w:tc>
          <w:tcPr>
            <w:tcW w:type="dxa" w:w="3264"/>
          </w:tcPr>
          <w:p>
            <w:r>
              <w:t>Core research function</w:t>
            </w:r>
          </w:p>
        </w:tc>
      </w:tr>
      <w:tr>
        <w:tc>
          <w:tcPr>
            <w:tcW w:type="dxa" w:w="3264"/>
          </w:tcPr>
          <w:p>
            <w:r>
              <w:t>P0</w:t>
            </w:r>
          </w:p>
        </w:tc>
        <w:tc>
          <w:tcPr>
            <w:tcW w:type="dxa" w:w="3264"/>
          </w:tcPr>
          <w:p>
            <w:r>
              <w:t>Temporal delivery control</w:t>
            </w:r>
          </w:p>
        </w:tc>
        <w:tc>
          <w:tcPr>
            <w:tcW w:type="dxa" w:w="3264"/>
          </w:tcPr>
          <w:p>
            <w:r>
              <w:t>Core research function</w:t>
            </w:r>
          </w:p>
        </w:tc>
      </w:tr>
      <w:tr>
        <w:tc>
          <w:tcPr>
            <w:tcW w:type="dxa" w:w="3264"/>
          </w:tcPr>
          <w:p>
            <w:r>
              <w:t>P0</w:t>
            </w:r>
          </w:p>
        </w:tc>
        <w:tc>
          <w:tcPr>
            <w:tcW w:type="dxa" w:w="3264"/>
          </w:tcPr>
          <w:p>
            <w:r>
              <w:t>Metadata consistency</w:t>
            </w:r>
          </w:p>
        </w:tc>
        <w:tc>
          <w:tcPr>
            <w:tcW w:type="dxa" w:w="3264"/>
          </w:tcPr>
          <w:p>
            <w:r>
              <w:t>Core privacy requirement</w:t>
            </w:r>
          </w:p>
        </w:tc>
      </w:tr>
      <w:tr>
        <w:tc>
          <w:tcPr>
            <w:tcW w:type="dxa" w:w="3264"/>
          </w:tcPr>
          <w:p>
            <w:r>
              <w:t>P1</w:t>
            </w:r>
          </w:p>
        </w:tc>
        <w:tc>
          <w:tcPr>
            <w:tcW w:type="dxa" w:w="3264"/>
          </w:tcPr>
          <w:p>
            <w:r>
              <w:t>Cached/passive location</w:t>
            </w:r>
          </w:p>
        </w:tc>
        <w:tc>
          <w:tcPr>
            <w:tcW w:type="dxa" w:w="3264"/>
          </w:tcPr>
          <w:p>
            <w:r>
              <w:t>Required within framework scope</w:t>
            </w:r>
          </w:p>
        </w:tc>
      </w:tr>
      <w:tr>
        <w:tc>
          <w:tcPr>
            <w:tcW w:type="dxa" w:w="3264"/>
          </w:tcPr>
          <w:p>
            <w:r>
              <w:t>P1</w:t>
            </w:r>
          </w:p>
        </w:tc>
        <w:tc>
          <w:tcPr>
            <w:tcW w:type="dxa" w:w="3264"/>
          </w:tcPr>
          <w:p>
            <w:r>
              <w:t>Geofence</w:t>
            </w:r>
          </w:p>
        </w:tc>
        <w:tc>
          <w:tcPr>
            <w:tcW w:type="dxa" w:w="3264"/>
          </w:tcPr>
          <w:p>
            <w:r>
              <w:t>Required for selected V1 paths</w:t>
            </w:r>
          </w:p>
        </w:tc>
      </w:tr>
      <w:tr>
        <w:tc>
          <w:tcPr>
            <w:tcW w:type="dxa" w:w="3264"/>
          </w:tcPr>
          <w:p>
            <w:r>
              <w:t>P1</w:t>
            </w:r>
          </w:p>
        </w:tc>
        <w:tc>
          <w:tcPr>
            <w:tcW w:type="dxa" w:w="3264"/>
          </w:tcPr>
          <w:p>
            <w:r>
              <w:t>GMS/fused location</w:t>
            </w:r>
          </w:p>
        </w:tc>
        <w:tc>
          <w:tcPr>
            <w:tcW w:type="dxa" w:w="3264"/>
          </w:tcPr>
          <w:p>
            <w:r>
              <w:t>Compatibility/enforcement investigation</w:t>
            </w:r>
          </w:p>
        </w:tc>
      </w:tr>
      <w:tr>
        <w:tc>
          <w:tcPr>
            <w:tcW w:type="dxa" w:w="3264"/>
          </w:tcPr>
          <w:p>
            <w:r>
              <w:t>P2</w:t>
            </w:r>
          </w:p>
        </w:tc>
        <w:tc>
          <w:tcPr>
            <w:tcW w:type="dxa" w:w="3264"/>
          </w:tcPr>
          <w:p>
            <w:r>
              <w:t>GNSS measurements</w:t>
            </w:r>
          </w:p>
        </w:tc>
        <w:tc>
          <w:tcPr>
            <w:tcW w:type="dxa" w:w="3264"/>
          </w:tcPr>
          <w:p>
            <w:r>
              <w:t>Detailed side-channel evaluation</w:t>
            </w:r>
          </w:p>
        </w:tc>
      </w:tr>
      <w:tr>
        <w:tc>
          <w:tcPr>
            <w:tcW w:type="dxa" w:w="3264"/>
          </w:tcPr>
          <w:p>
            <w:r>
              <w:t>P2</w:t>
            </w:r>
          </w:p>
        </w:tc>
        <w:tc>
          <w:tcPr>
            <w:tcW w:type="dxa" w:w="3264"/>
          </w:tcPr>
          <w:p>
            <w:r>
              <w:t>Wi-Fi/Bluetooth/cellular derived information</w:t>
            </w:r>
          </w:p>
        </w:tc>
        <w:tc>
          <w:tcPr>
            <w:tcW w:type="dxa" w:w="3264"/>
          </w:tcPr>
          <w:p>
            <w:r>
              <w:t>Separate enforcement study</w:t>
            </w:r>
          </w:p>
        </w:tc>
      </w:tr>
      <w:tr>
        <w:tc>
          <w:tcPr>
            <w:tcW w:type="dxa" w:w="3264"/>
          </w:tcPr>
          <w:p>
            <w:r>
              <w:t>P3</w:t>
            </w:r>
          </w:p>
        </w:tc>
        <w:tc>
          <w:tcPr>
            <w:tcW w:type="dxa" w:w="3264"/>
          </w:tcPr>
          <w:p>
            <w:r>
              <w:t>External/IP inference</w:t>
            </w:r>
          </w:p>
        </w:tc>
        <w:tc>
          <w:tcPr>
            <w:tcW w:type="dxa" w:w="3264"/>
          </w:tcPr>
          <w:p>
            <w:r>
              <w:t>Outside core enforcement</w:t>
            </w:r>
          </w:p>
        </w:tc>
      </w:tr>
    </w:tbl>
    <w:p>
      <w:pPr>
        <w:pStyle w:val="Heading1"/>
      </w:pPr>
      <w:r>
        <w:t>16. Traceability to Threat Model</w:t>
      </w:r>
    </w:p>
    <w:tbl>
      <w:tblPr>
        <w:tblStyle w:val="TableGrid"/>
        <w:tblW w:type="auto" w:w="0"/>
        <w:tblLook w:firstColumn="1" w:firstRow="1" w:lastColumn="0" w:lastRow="0" w:noHBand="0" w:noVBand="1" w:val="04A0"/>
      </w:tblPr>
      <w:tblGrid>
        <w:gridCol w:w="4896"/>
        <w:gridCol w:w="4896"/>
      </w:tblGrid>
      <w:tr>
        <w:tc>
          <w:tcPr>
            <w:tcW w:type="dxa" w:w="4896"/>
          </w:tcPr>
          <w:p>
            <w:r>
              <w:t>Threat</w:t>
            </w:r>
          </w:p>
        </w:tc>
        <w:tc>
          <w:tcPr>
            <w:tcW w:type="dxa" w:w="4896"/>
          </w:tcPr>
          <w:p>
            <w:r>
              <w:t>Primary TRD Controls</w:t>
            </w:r>
          </w:p>
        </w:tc>
      </w:tr>
      <w:tr>
        <w:tc>
          <w:tcPr>
            <w:tcW w:type="dxa" w:w="4896"/>
          </w:tcPr>
          <w:p>
            <w:r>
              <w:t>T1/T2</w:t>
            </w:r>
          </w:p>
        </w:tc>
        <w:tc>
          <w:tcPr>
            <w:tcW w:type="dxa" w:w="4896"/>
          </w:tcPr>
          <w:p>
            <w:r>
              <w:t>FR-020–023, FR-110–113, SEC-006</w:t>
            </w:r>
          </w:p>
        </w:tc>
      </w:tr>
      <w:tr>
        <w:tc>
          <w:tcPr>
            <w:tcW w:type="dxa" w:w="4896"/>
          </w:tcPr>
          <w:p>
            <w:r>
              <w:t>T3</w:t>
            </w:r>
          </w:p>
        </w:tc>
        <w:tc>
          <w:tcPr>
            <w:tcW w:type="dxa" w:w="4896"/>
          </w:tcPr>
          <w:p>
            <w:r>
              <w:t>FR-070–071, SEC-007</w:t>
            </w:r>
          </w:p>
        </w:tc>
      </w:tr>
      <w:tr>
        <w:tc>
          <w:tcPr>
            <w:tcW w:type="dxa" w:w="4896"/>
          </w:tcPr>
          <w:p>
            <w:r>
              <w:t>T4</w:t>
            </w:r>
          </w:p>
        </w:tc>
        <w:tc>
          <w:tcPr>
            <w:tcW w:type="dxa" w:w="4896"/>
          </w:tcPr>
          <w:p>
            <w:r>
              <w:t>FR-072, SEC-007</w:t>
            </w:r>
          </w:p>
        </w:tc>
      </w:tr>
      <w:tr>
        <w:tc>
          <w:tcPr>
            <w:tcW w:type="dxa" w:w="4896"/>
          </w:tcPr>
          <w:p>
            <w:r>
              <w:t>T5</w:t>
            </w:r>
          </w:p>
        </w:tc>
        <w:tc>
          <w:tcPr>
            <w:tcW w:type="dxa" w:w="4896"/>
          </w:tcPr>
          <w:p>
            <w:r>
              <w:t>FR-080–083</w:t>
            </w:r>
          </w:p>
        </w:tc>
      </w:tr>
      <w:tr>
        <w:tc>
          <w:tcPr>
            <w:tcW w:type="dxa" w:w="4896"/>
          </w:tcPr>
          <w:p>
            <w:r>
              <w:t>T6</w:t>
            </w:r>
          </w:p>
        </w:tc>
        <w:tc>
          <w:tcPr>
            <w:tcW w:type="dxa" w:w="4896"/>
          </w:tcPr>
          <w:p>
            <w:r>
              <w:t>FR-064 and COMP-003–006</w:t>
            </w:r>
          </w:p>
        </w:tc>
      </w:tr>
      <w:tr>
        <w:tc>
          <w:tcPr>
            <w:tcW w:type="dxa" w:w="4896"/>
          </w:tcPr>
          <w:p>
            <w:r>
              <w:t>T7/T8/T9</w:t>
            </w:r>
          </w:p>
        </w:tc>
        <w:tc>
          <w:tcPr>
            <w:tcW w:type="dxa" w:w="4896"/>
          </w:tcPr>
          <w:p>
            <w:r>
              <w:t>FR-060–065 and COMP-006</w:t>
            </w:r>
          </w:p>
        </w:tc>
      </w:tr>
      <w:tr>
        <w:tc>
          <w:tcPr>
            <w:tcW w:type="dxa" w:w="4896"/>
          </w:tcPr>
          <w:p>
            <w:r>
              <w:t>T10</w:t>
            </w:r>
          </w:p>
        </w:tc>
        <w:tc>
          <w:tcPr>
            <w:tcW w:type="dxa" w:w="4896"/>
          </w:tcPr>
          <w:p>
            <w:r>
              <w:t>FR-040–045, RES-004</w:t>
            </w:r>
          </w:p>
        </w:tc>
      </w:tr>
      <w:tr>
        <w:tc>
          <w:tcPr>
            <w:tcW w:type="dxa" w:w="4896"/>
          </w:tcPr>
          <w:p>
            <w:r>
              <w:t>T11</w:t>
            </w:r>
          </w:p>
        </w:tc>
        <w:tc>
          <w:tcPr>
            <w:tcW w:type="dxa" w:w="4896"/>
          </w:tcPr>
          <w:p>
            <w:r>
              <w:t>FR-090–093, SEC-009</w:t>
            </w:r>
          </w:p>
        </w:tc>
      </w:tr>
      <w:tr>
        <w:tc>
          <w:tcPr>
            <w:tcW w:type="dxa" w:w="4896"/>
          </w:tcPr>
          <w:p>
            <w:r>
              <w:t>T12</w:t>
            </w:r>
          </w:p>
        </w:tc>
        <w:tc>
          <w:tcPr>
            <w:tcW w:type="dxa" w:w="4896"/>
          </w:tcPr>
          <w:p>
            <w:r>
              <w:t>COMP-003–006</w:t>
            </w:r>
          </w:p>
        </w:tc>
      </w:tr>
      <w:tr>
        <w:tc>
          <w:tcPr>
            <w:tcW w:type="dxa" w:w="4896"/>
          </w:tcPr>
          <w:p>
            <w:r>
              <w:t>T13/T14</w:t>
            </w:r>
          </w:p>
        </w:tc>
        <w:tc>
          <w:tcPr>
            <w:tcW w:type="dxa" w:w="4896"/>
          </w:tcPr>
          <w:p>
            <w:r>
              <w:t>FR-001–004, FR-120–123, SEC-001–004</w:t>
            </w:r>
          </w:p>
        </w:tc>
      </w:tr>
      <w:tr>
        <w:tc>
          <w:tcPr>
            <w:tcW w:type="dxa" w:w="4896"/>
          </w:tcPr>
          <w:p>
            <w:r>
              <w:t>T15</w:t>
            </w:r>
          </w:p>
        </w:tc>
        <w:tc>
          <w:tcPr>
            <w:tcW w:type="dxa" w:w="4896"/>
          </w:tcPr>
          <w:p>
            <w:r>
              <w:t>FR-018, FR-043, FR-045, REL-007</w:t>
            </w:r>
          </w:p>
        </w:tc>
      </w:tr>
      <w:tr>
        <w:tc>
          <w:tcPr>
            <w:tcW w:type="dxa" w:w="4896"/>
          </w:tcPr>
          <w:p>
            <w:r>
              <w:t>T16</w:t>
            </w:r>
          </w:p>
        </w:tc>
        <w:tc>
          <w:tcPr>
            <w:tcW w:type="dxa" w:w="4896"/>
          </w:tcPr>
          <w:p>
            <w:r>
              <w:t>FR-070–071, REL-003</w:t>
            </w:r>
          </w:p>
        </w:tc>
      </w:tr>
      <w:tr>
        <w:tc>
          <w:tcPr>
            <w:tcW w:type="dxa" w:w="4896"/>
          </w:tcPr>
          <w:p>
            <w:r>
              <w:t>T17</w:t>
            </w:r>
          </w:p>
        </w:tc>
        <w:tc>
          <w:tcPr>
            <w:tcW w:type="dxa" w:w="4896"/>
          </w:tcPr>
          <w:p>
            <w:r>
              <w:t>FR-090–093, SEC-009</w:t>
            </w:r>
          </w:p>
        </w:tc>
      </w:tr>
      <w:tr>
        <w:tc>
          <w:tcPr>
            <w:tcW w:type="dxa" w:w="4896"/>
          </w:tcPr>
          <w:p>
            <w:r>
              <w:t>T18</w:t>
            </w:r>
          </w:p>
        </w:tc>
        <w:tc>
          <w:tcPr>
            <w:tcW w:type="dxa" w:w="4896"/>
          </w:tcPr>
          <w:p>
            <w:r>
              <w:t>AUD-001–005, SEC-012</w:t>
            </w:r>
          </w:p>
        </w:tc>
      </w:tr>
    </w:tbl>
    <w:p>
      <w:pPr>
        <w:pStyle w:val="Heading1"/>
      </w:pPr>
      <w:r>
        <w:t>17. Acceptance Criteria for the Requirements Baseline</w:t>
      </w:r>
    </w:p>
    <w:p>
      <w:r>
        <w:rPr>
          <w:b w:val="0"/>
        </w:rPr>
        <w:t>The TRD is considered implementable when each P0 requirement has a planned verification method and no requirement depends on an undefined concept.</w:t>
      </w:r>
    </w:p>
    <w:tbl>
      <w:tblPr>
        <w:tblStyle w:val="TableGrid"/>
        <w:tblW w:type="auto" w:w="0"/>
        <w:tblLook w:firstColumn="1" w:firstRow="1" w:lastColumn="0" w:lastRow="0" w:noHBand="0" w:noVBand="1" w:val="04A0"/>
      </w:tblPr>
      <w:tblGrid>
        <w:gridCol w:w="4896"/>
        <w:gridCol w:w="4896"/>
      </w:tblGrid>
      <w:tr>
        <w:tc>
          <w:tcPr>
            <w:tcW w:type="dxa" w:w="4896"/>
          </w:tcPr>
          <w:p>
            <w:r>
              <w:t>Verification Type</w:t>
            </w:r>
          </w:p>
        </w:tc>
        <w:tc>
          <w:tcPr>
            <w:tcW w:type="dxa" w:w="4896"/>
          </w:tcPr>
          <w:p>
            <w:r>
              <w:t>Use</w:t>
            </w:r>
          </w:p>
        </w:tc>
      </w:tr>
      <w:tr>
        <w:tc>
          <w:tcPr>
            <w:tcW w:type="dxa" w:w="4896"/>
          </w:tcPr>
          <w:p>
            <w:r>
              <w:t>Unit test</w:t>
            </w:r>
          </w:p>
        </w:tc>
        <w:tc>
          <w:tcPr>
            <w:tcW w:type="dxa" w:w="4896"/>
          </w:tcPr>
          <w:p>
            <w:r>
              <w:t>Policy evaluator, temporal controller, transformation algorithms</w:t>
            </w:r>
          </w:p>
        </w:tc>
      </w:tr>
      <w:tr>
        <w:tc>
          <w:tcPr>
            <w:tcW w:type="dxa" w:w="4896"/>
          </w:tcPr>
          <w:p>
            <w:r>
              <w:t>Integration test</w:t>
            </w:r>
          </w:p>
        </w:tc>
        <w:tc>
          <w:tcPr>
            <w:tcW w:type="dxa" w:w="4896"/>
          </w:tcPr>
          <w:p>
            <w:r>
              <w:t>System service and policy-management interfaces</w:t>
            </w:r>
          </w:p>
        </w:tc>
      </w:tr>
      <w:tr>
        <w:tc>
          <w:tcPr>
            <w:tcW w:type="dxa" w:w="4896"/>
          </w:tcPr>
          <w:p>
            <w:r>
              <w:t>Android instrumentation</w:t>
            </w:r>
          </w:p>
        </w:tc>
        <w:tc>
          <w:tcPr>
            <w:tcW w:type="dxa" w:w="4896"/>
          </w:tcPr>
          <w:p>
            <w:r>
              <w:t>Framework enforcement behavior</w:t>
            </w:r>
          </w:p>
        </w:tc>
      </w:tr>
      <w:tr>
        <w:tc>
          <w:tcPr>
            <w:tcW w:type="dxa" w:w="4896"/>
          </w:tcPr>
          <w:p>
            <w:r>
              <w:t>Adversarial test</w:t>
            </w:r>
          </w:p>
        </w:tc>
        <w:tc>
          <w:tcPr>
            <w:tcW w:type="dxa" w:w="4896"/>
          </w:tcPr>
          <w:p>
            <w:r>
              <w:t>Threat and bypass scenarios</w:t>
            </w:r>
          </w:p>
        </w:tc>
      </w:tr>
      <w:tr>
        <w:tc>
          <w:tcPr>
            <w:tcW w:type="dxa" w:w="4896"/>
          </w:tcPr>
          <w:p>
            <w:r>
              <w:t>Benchmark</w:t>
            </w:r>
          </w:p>
        </w:tc>
        <w:tc>
          <w:tcPr>
            <w:tcW w:type="dxa" w:w="4896"/>
          </w:tcPr>
          <w:p>
            <w:r>
              <w:t>Latency, CPU, memory, battery</w:t>
            </w:r>
          </w:p>
        </w:tc>
      </w:tr>
      <w:tr>
        <w:tc>
          <w:tcPr>
            <w:tcW w:type="dxa" w:w="4896"/>
          </w:tcPr>
          <w:p>
            <w:r>
              <w:t>Application test</w:t>
            </w:r>
          </w:p>
        </w:tc>
        <w:tc>
          <w:tcPr>
            <w:tcW w:type="dxa" w:w="4896"/>
          </w:tcPr>
          <w:p>
            <w:r>
              <w:t>Utility and compatibility</w:t>
            </w:r>
          </w:p>
        </w:tc>
      </w:tr>
      <w:tr>
        <w:tc>
          <w:tcPr>
            <w:tcW w:type="dxa" w:w="4896"/>
          </w:tcPr>
          <w:p>
            <w:r>
              <w:t>Static/source inspection</w:t>
            </w:r>
          </w:p>
        </w:tc>
        <w:tc>
          <w:tcPr>
            <w:tcW w:type="dxa" w:w="4896"/>
          </w:tcPr>
          <w:p>
            <w:r>
              <w:t>AOSP integration and enforcement-point verification</w:t>
            </w:r>
          </w:p>
        </w:tc>
      </w:tr>
    </w:tbl>
    <w:p>
      <w:pPr>
        <w:pStyle w:val="Heading1"/>
      </w:pPr>
      <w:r>
        <w:t>18. Requirements That Must Not Be Assumed</w:t>
      </w:r>
    </w:p>
    <w:p>
      <w:pPr>
        <w:pStyle w:val="ListBullet"/>
      </w:pPr>
      <w:r>
        <w:t>That every Android location API is controlled by one framework method.</w:t>
      </w:r>
    </w:p>
    <w:p>
      <w:pPr>
        <w:pStyle w:val="ListBullet"/>
      </w:pPr>
      <w:r>
        <w:t>That AOSP modification automatically controls Google Play Services behavior.</w:t>
      </w:r>
    </w:p>
    <w:p>
      <w:pPr>
        <w:pStyle w:val="ListBullet"/>
      </w:pPr>
      <w:r>
        <w:t>That transformed coordinates alone prevent location inference.</w:t>
      </w:r>
    </w:p>
    <w:p>
      <w:pPr>
        <w:pStyle w:val="ListBullet"/>
      </w:pPr>
      <w:r>
        <w:t>That denying GPS automatically denies Wi-Fi/Bluetooth/cellular-derived information.</w:t>
      </w:r>
    </w:p>
    <w:p>
      <w:pPr>
        <w:pStyle w:val="ListBullet"/>
      </w:pPr>
      <w:r>
        <w:t>That request-time enforcement is sufficient without delivery-time enforcement.</w:t>
      </w:r>
    </w:p>
    <w:p>
      <w:pPr>
        <w:pStyle w:val="ListBullet"/>
      </w:pPr>
      <w:r>
        <w:t>That a normal Control APK can act as a universal transparent interceptor.</w:t>
      </w:r>
    </w:p>
    <w:p>
      <w:pPr>
        <w:pStyle w:val="ListBullet"/>
      </w:pPr>
      <w:r>
        <w:t>That a single Android version's implementation details are stable across all target versions.</w:t>
      </w:r>
    </w:p>
    <w:p>
      <w:pPr>
        <w:pStyle w:val="Heading1"/>
      </w:pPr>
      <w:r>
        <w:t>19. Implementation-Readiness Gate</w:t>
      </w:r>
    </w:p>
    <w:p>
      <w:r>
        <w:rPr>
          <w:b w:val="0"/>
        </w:rPr>
        <w:t>Before practical implementation begins, the following must be frozen enough to code against:</w:t>
      </w:r>
    </w:p>
    <w:p>
      <w:pPr>
        <w:pStyle w:val="ListNumber"/>
      </w:pPr>
      <w:r>
        <w:t>Policy vocabulary and semantics</w:t>
      </w:r>
    </w:p>
    <w:p>
      <w:pPr>
        <w:pStyle w:val="ListNumber"/>
      </w:pPr>
      <w:r>
        <w:t>Effective-policy rules</w:t>
      </w:r>
    </w:p>
    <w:p>
      <w:pPr>
        <w:pStyle w:val="ListNumber"/>
      </w:pPr>
      <w:r>
        <w:t>Application identity model</w:t>
      </w:r>
    </w:p>
    <w:p>
      <w:pPr>
        <w:pStyle w:val="ListNumber"/>
      </w:pPr>
      <w:r>
        <w:t>Policy decision model</w:t>
      </w:r>
    </w:p>
    <w:p>
      <w:pPr>
        <w:pStyle w:val="ListNumber"/>
      </w:pPr>
      <w:r>
        <w:t>Transformation contract</w:t>
      </w:r>
    </w:p>
    <w:p>
      <w:pPr>
        <w:pStyle w:val="ListNumber"/>
      </w:pPr>
      <w:r>
        <w:t>Temporal enforcement semantics</w:t>
      </w:r>
    </w:p>
    <w:p>
      <w:pPr>
        <w:pStyle w:val="ListNumber"/>
      </w:pPr>
      <w:r>
        <w:t>Security invariants</w:t>
      </w:r>
    </w:p>
    <w:p>
      <w:pPr>
        <w:pStyle w:val="ListNumber"/>
      </w:pPr>
      <w:r>
        <w:t>Failure behavior</w:t>
      </w:r>
    </w:p>
    <w:p>
      <w:pPr>
        <w:pStyle w:val="ListNumber"/>
      </w:pPr>
      <w:r>
        <w:t>Initial Android version scope</w:t>
      </w:r>
    </w:p>
    <w:p>
      <w:pPr>
        <w:pStyle w:val="ListNumber"/>
      </w:pPr>
      <w:r>
        <w:t>V1 versus V2 enforcement boundaries</w:t>
      </w:r>
    </w:p>
    <w:p>
      <w:r>
        <w:rPr>
          <w:b w:val="0"/>
        </w:rPr>
        <w:t>The exact Android source paths and Binder/AIDL contracts are intentionally deferred to the design and enforcement documents.</w:t>
      </w:r>
    </w:p>
    <w:p>
      <w:pPr>
        <w:pStyle w:val="Heading1"/>
      </w:pPr>
      <w:r>
        <w:t>20. Next Design Artifact</w:t>
      </w:r>
    </w:p>
    <w:p>
      <w:r>
        <w:rPr>
          <w:b w:val="0"/>
        </w:rPr>
        <w:t>The next document is the Technical Design &amp; Rationale (TDR). It will explain why each major architectural decision satisfies these requirements and threat constraints.</w:t>
      </w:r>
    </w:p>
    <w:p>
      <w:r>
        <w:rPr>
          <w:b w:val="0"/>
        </w:rPr>
        <w:t>The TDR will establish the control plane, system service, policy engine, transformation engine, enforcement plane, storage, audit model, and prototype-to-AOSP strategy before the API and Android source-path documents.</w:t>
      </w:r>
    </w:p>
    <w:p>
      <w:pPr>
        <w:pStyle w:val="Heading1"/>
      </w:pPr>
      <w:r>
        <w:t>21.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formal requirements baseline derived from Documents 01–04.</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Technical Requirements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