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ADAPTIVE PER-APP LOCATION PRIVACY FRAMEWORK FOR ANDROID</w:t>
      </w:r>
    </w:p>
    <w:p>
      <w:pPr>
        <w:jc w:val="center"/>
      </w:pPr>
      <w:r>
        <w:rPr>
          <w:b/>
          <w:sz w:val="32"/>
        </w:rPr>
        <w:t>Document 06 — Technical Design &amp; Rationale</w:t>
      </w:r>
    </w:p>
    <w:p>
      <w:pPr>
        <w:jc w:val="center"/>
      </w:pPr>
      <w:r>
        <w:t>Working Name: ALPF</w:t>
      </w:r>
    </w:p>
    <w:p>
      <w:pPr>
        <w:jc w:val="center"/>
      </w:pPr>
      <w:r>
        <w:t>Version: 1.0</w:t>
      </w:r>
    </w:p>
    <w:p>
      <w:pPr>
        <w:jc w:val="center"/>
      </w:pPr>
      <w:r>
        <w:t>Status: Design Baseline</w:t>
      </w:r>
    </w:p>
    <w:p>
      <w:pPr>
        <w:jc w:val="center"/>
      </w:pPr>
      <w:r>
        <w:rPr>
          <w:i/>
        </w:rPr>
        <w:t>Explains the design decisions that satisfy the requirements and threat model.</w:t>
      </w:r>
    </w:p>
    <w:p>
      <w:r>
        <w:br w:type="page"/>
      </w:r>
    </w:p>
    <w:p>
      <w:pPr>
        <w:pStyle w:val="Heading1"/>
      </w:pPr>
      <w:r>
        <w:t>Document Control</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Document</w:t>
            </w:r>
          </w:p>
        </w:tc>
        <w:tc>
          <w:tcPr>
            <w:tcW w:type="dxa" w:w="4896"/>
          </w:tcPr>
          <w:p>
            <w:r>
              <w:t>Technical Design &amp; Rationale</w:t>
            </w:r>
          </w:p>
        </w:tc>
      </w:tr>
      <w:tr>
        <w:tc>
          <w:tcPr>
            <w:tcW w:type="dxa" w:w="4896"/>
          </w:tcPr>
          <w:p>
            <w:r>
              <w:t>Version</w:t>
            </w:r>
          </w:p>
        </w:tc>
        <w:tc>
          <w:tcPr>
            <w:tcW w:type="dxa" w:w="4896"/>
          </w:tcPr>
          <w:p>
            <w:r>
              <w:t>1.0</w:t>
            </w:r>
          </w:p>
        </w:tc>
      </w:tr>
      <w:tr>
        <w:tc>
          <w:tcPr>
            <w:tcW w:type="dxa" w:w="4896"/>
          </w:tcPr>
          <w:p>
            <w:r>
              <w:t>Project</w:t>
            </w:r>
          </w:p>
        </w:tc>
        <w:tc>
          <w:tcPr>
            <w:tcW w:type="dxa" w:w="4896"/>
          </w:tcPr>
          <w:p>
            <w:r>
              <w:t>Adaptive Per-App Location Privacy Framework for Android</w:t>
            </w:r>
          </w:p>
        </w:tc>
      </w:tr>
      <w:tr>
        <w:tc>
          <w:tcPr>
            <w:tcW w:type="dxa" w:w="4896"/>
          </w:tcPr>
          <w:p>
            <w:r>
              <w:t>Working Acronym</w:t>
            </w:r>
          </w:p>
        </w:tc>
        <w:tc>
          <w:tcPr>
            <w:tcW w:type="dxa" w:w="4896"/>
          </w:tcPr>
          <w:p>
            <w:r>
              <w:t>ALPF</w:t>
            </w:r>
          </w:p>
        </w:tc>
      </w:tr>
      <w:tr>
        <w:tc>
          <w:tcPr>
            <w:tcW w:type="dxa" w:w="4896"/>
          </w:tcPr>
          <w:p>
            <w:r>
              <w:t>Depends On</w:t>
            </w:r>
          </w:p>
        </w:tc>
        <w:tc>
          <w:tcPr>
            <w:tcW w:type="dxa" w:w="4896"/>
          </w:tcPr>
          <w:p>
            <w:r>
              <w:t>Documents 01–05</w:t>
            </w:r>
          </w:p>
        </w:tc>
      </w:tr>
      <w:tr>
        <w:tc>
          <w:tcPr>
            <w:tcW w:type="dxa" w:w="4896"/>
          </w:tcPr>
          <w:p>
            <w:r>
              <w:t>Purpose</w:t>
            </w:r>
          </w:p>
        </w:tc>
        <w:tc>
          <w:tcPr>
            <w:tcW w:type="dxa" w:w="4896"/>
          </w:tcPr>
          <w:p>
            <w:r>
              <w:t>Justify the system architecture and major design decisions.</w:t>
            </w:r>
          </w:p>
        </w:tc>
      </w:tr>
      <w:tr>
        <w:tc>
          <w:tcPr>
            <w:tcW w:type="dxa" w:w="4896"/>
          </w:tcPr>
          <w:p>
            <w:r>
              <w:t>Status</w:t>
            </w:r>
          </w:p>
        </w:tc>
        <w:tc>
          <w:tcPr>
            <w:tcW w:type="dxa" w:w="4896"/>
          </w:tcPr>
          <w:p>
            <w:r>
              <w:t>Design baseline</w:t>
            </w:r>
          </w:p>
        </w:tc>
      </w:tr>
    </w:tbl>
    <w:p>
      <w:pPr>
        <w:pStyle w:val="Heading1"/>
      </w:pPr>
      <w:r>
        <w:t>1. Purpose</w:t>
      </w:r>
    </w:p>
    <w:p>
      <w:r>
        <w:rPr>
          <w:b w:val="0"/>
        </w:rPr>
        <w:t>The TRD defines what ALPF must do. This TDR defines why the proposed architecture is organized the way it is and how the major design choices satisfy the requirements and security boundaries.</w:t>
      </w:r>
    </w:p>
    <w:p>
      <w:r>
        <w:rPr>
          <w:b w:val="0"/>
        </w:rPr>
        <w:t>The TDR deliberately stops short of freezing every Android source-file path and exact AIDL signature. Those belong in later implementation-facing documents.</w:t>
      </w:r>
    </w:p>
    <w:p>
      <w:pPr>
        <w:pStyle w:val="Heading1"/>
      </w:pPr>
      <w:r>
        <w:t>2. Design Principles</w:t>
      </w:r>
    </w:p>
    <w:p>
      <w:pPr>
        <w:pStyle w:val="ListBullet"/>
      </w:pPr>
      <w:r>
        <w:t>Least privilege: applications receive no more location information than their effective policy permits.</w:t>
      </w:r>
    </w:p>
    <w:p>
      <w:pPr>
        <w:pStyle w:val="ListBullet"/>
      </w:pPr>
      <w:r>
        <w:t>Defense in depth: permission checks, policy evaluation, transformation, metadata sanitization, and delivery enforcement complement one another.</w:t>
      </w:r>
    </w:p>
    <w:p>
      <w:pPr>
        <w:pStyle w:val="ListBullet"/>
      </w:pPr>
      <w:r>
        <w:t>Trusted enforcement: security-critical policy enforcement occurs in a privileged system layer rather than in the ordinary application process.</w:t>
      </w:r>
    </w:p>
    <w:p>
      <w:pPr>
        <w:pStyle w:val="ListBullet"/>
      </w:pPr>
      <w:r>
        <w:t>Separation of control and enforcement: the user-facing APK manages policy but does not become the location interception mechanism.</w:t>
      </w:r>
    </w:p>
    <w:p>
      <w:pPr>
        <w:pStyle w:val="ListBullet"/>
      </w:pPr>
      <w:r>
        <w:t>Delivery-time enforcement: restricting requests alone is insufficient; delivered data must also be controlled.</w:t>
      </w:r>
    </w:p>
    <w:p>
      <w:pPr>
        <w:pStyle w:val="ListBullet"/>
      </w:pPr>
      <w:r>
        <w:t>Explicit boundaries: unsupported or externally controlled paths are documented instead of silently treated as protected.</w:t>
      </w:r>
    </w:p>
    <w:p>
      <w:pPr>
        <w:pStyle w:val="ListBullet"/>
      </w:pPr>
      <w:r>
        <w:t>Testability: policy logic and transformations are independently testable.</w:t>
      </w:r>
    </w:p>
    <w:p>
      <w:pPr>
        <w:pStyle w:val="ListBullet"/>
      </w:pPr>
      <w:r>
        <w:t>Fail safe: security-critical failures do not silently release unrestricted location information.</w:t>
      </w:r>
    </w:p>
    <w:p>
      <w:pPr>
        <w:pStyle w:val="Heading1"/>
      </w:pPr>
      <w:r>
        <w:t>3. Canonical Architecture</w:t>
      </w:r>
    </w:p>
    <w:p>
      <w:pPr>
        <w:ind w:left="360"/>
      </w:pPr>
      <w:r>
        <w:rPr>
          <w:rFonts w:ascii="Consolas" w:hAnsi="Consolas"/>
          <w:sz w:val="18"/>
        </w:rPr>
        <w:t xml:space="preserve">                         USER</w:t>
        <w:br/>
        <w:t xml:space="preserve">                           │</w:t>
        <w:br/>
        <w:t xml:space="preserve">                           ▼</w:t>
        <w:br/>
        <w:t xml:space="preserve">                ┌─────────────────────┐</w:t>
        <w:br/>
        <w:t xml:space="preserve">                │     CONTROL APK     │</w:t>
        <w:br/>
        <w:t xml:space="preserve">                │                     │</w:t>
        <w:br/>
        <w:t xml:space="preserve">                │ Policy UI           │</w:t>
        <w:br/>
        <w:t xml:space="preserve">                │ App policies        │</w:t>
        <w:br/>
        <w:t xml:space="preserve">                │ Diagnostics         │</w:t>
        <w:br/>
        <w:t xml:space="preserve">                └──────────┬──────────┘</w:t>
        <w:br/>
        <w:t xml:space="preserve">                           │</w:t>
        <w:br/>
        <w:t xml:space="preserve">                      Binder / IPC</w:t>
        <w:br/>
        <w:t xml:space="preserve">                           │</w:t>
        <w:br/>
        <w:t xml:space="preserve">                           ▼</w:t>
        <w:br/>
        <w:t xml:space="preserve">                ┌─────────────────────┐</w:t>
        <w:br/>
        <w:t xml:space="preserve">                │ LocationPrivacy     │</w:t>
        <w:br/>
        <w:t xml:space="preserve">                │ ManagerService      │</w:t>
        <w:br/>
        <w:t xml:space="preserve">                │                     │</w:t>
        <w:br/>
        <w:t xml:space="preserve">                │     system_server   │</w:t>
        <w:br/>
        <w:t xml:space="preserve">                └──────────┬──────────┘</w:t>
        <w:br/>
        <w:t xml:space="preserve">                           │</w:t>
        <w:br/>
        <w:t xml:space="preserve">                      Local interface</w:t>
        <w:br/>
        <w:t xml:space="preserve">                           │</w:t>
        <w:br/>
        <w:t xml:space="preserve">                           ▼</w:t>
        <w:br/>
        <w:t xml:space="preserve">                ┌─────────────────────┐</w:t>
        <w:br/>
        <w:t xml:space="preserve">                │    POLICY ENGINE    │</w:t>
        <w:br/>
        <w:t xml:space="preserve">                └──────────┬──────────┘</w:t>
        <w:br/>
        <w:t xml:space="preserve">                           │</w:t>
        <w:br/>
        <w:t xml:space="preserve">             ┌─────────────┼─────────────┐</w:t>
        <w:br/>
        <w:t xml:space="preserve">             ▼             ▼             ▼</w:t>
        <w:br/>
        <w:t xml:space="preserve">          Spatial       Temporal      Context/</w:t>
        <w:br/>
        <w:t xml:space="preserve">          Policy         Policy        Source</w:t>
        <w:br/>
        <w:t xml:space="preserve">                           │</w:t>
        <w:br/>
        <w:t xml:space="preserve">                           ▼</w:t>
        <w:br/>
        <w:t xml:space="preserve">                ┌─────────────────────┐</w:t>
        <w:br/>
        <w:t xml:space="preserve">                │ Transformation      │</w:t>
        <w:br/>
        <w:t xml:space="preserve">                │ Engine              │</w:t>
        <w:br/>
        <w:t xml:space="preserve">                └──────────┬──────────┘</w:t>
        <w:br/>
        <w:t xml:space="preserve">                           ▼</w:t>
        <w:br/>
        <w:t xml:space="preserve">                ┌─────────────────────┐</w:t>
        <w:br/>
        <w:t xml:space="preserve">                │ Metadata Sanitizer  │</w:t>
        <w:br/>
        <w:t xml:space="preserve">                └──────────┬──────────┘</w:t>
        <w:br/>
        <w:t xml:space="preserve">                           ▼</w:t>
        <w:br/>
        <w:t xml:space="preserve">                      APPLICATION</w:t>
      </w:r>
    </w:p>
    <w:p>
      <w:pPr>
        <w:pStyle w:val="Heading1"/>
      </w:pPr>
      <w:r>
        <w:t>4. Decision D1 — Control APK vs System Service</w:t>
      </w:r>
    </w:p>
    <w:p>
      <w:r>
        <w:rPr>
          <w:b w:val="0"/>
        </w:rPr>
        <w:t>Decision: the Control APK is a control-plane client; privileged enforcement is performed by a system service and framework integration.</w:t>
      </w:r>
    </w:p>
    <w:p>
      <w:r>
        <w:rPr>
          <w:b w:val="0"/>
        </w:rPr>
        <w:t>Rationale: a normal APK cannot transparently mediate arbitrary third-party location calls. Making the APK the enforcement point would create an architectural mismatch between the desired security property and Android's process/service boundaries.</w:t>
      </w:r>
    </w:p>
    <w:p>
      <w:r>
        <w:rPr>
          <w:b w:val="0"/>
        </w:rPr>
        <w:t>The system service provides a privileged, centrally managed component that can interact with Android framework services and enforce caller identity and policy authorization.</w:t>
      </w:r>
    </w:p>
    <w:tbl>
      <w:tblPr>
        <w:tblStyle w:val="TableGrid"/>
        <w:tblW w:type="auto" w:w="0"/>
        <w:tblLook w:firstColumn="1" w:firstRow="1" w:lastColumn="0" w:lastRow="0" w:noHBand="0" w:noVBand="1" w:val="04A0"/>
      </w:tblPr>
      <w:tblGrid>
        <w:gridCol w:w="3264"/>
        <w:gridCol w:w="3264"/>
        <w:gridCol w:w="3264"/>
      </w:tblGrid>
      <w:tr>
        <w:tc>
          <w:tcPr>
            <w:tcW w:type="dxa" w:w="3264"/>
          </w:tcPr>
          <w:p>
            <w:r>
              <w:t>Alternative</w:t>
            </w:r>
          </w:p>
        </w:tc>
        <w:tc>
          <w:tcPr>
            <w:tcW w:type="dxa" w:w="3264"/>
          </w:tcPr>
          <w:p>
            <w:r>
              <w:t>Assessment</w:t>
            </w:r>
          </w:p>
        </w:tc>
        <w:tc>
          <w:tcPr>
            <w:tcW w:type="dxa" w:w="3264"/>
          </w:tcPr>
          <w:p>
            <w:r>
              <w:t>Reason for Rejection</w:t>
            </w:r>
          </w:p>
        </w:tc>
      </w:tr>
      <w:tr>
        <w:tc>
          <w:tcPr>
            <w:tcW w:type="dxa" w:w="3264"/>
          </w:tcPr>
          <w:p>
            <w:r>
              <w:t>Control APK intercepts all location</w:t>
            </w:r>
          </w:p>
        </w:tc>
        <w:tc>
          <w:tcPr>
            <w:tcW w:type="dxa" w:w="3264"/>
          </w:tcPr>
          <w:p>
            <w:r>
              <w:t>Not suitable</w:t>
            </w:r>
          </w:p>
        </w:tc>
        <w:tc>
          <w:tcPr>
            <w:tcW w:type="dxa" w:w="3264"/>
          </w:tcPr>
          <w:p>
            <w:r>
              <w:t>Cannot transparently intercept arbitrary applications through normal Android APIs</w:t>
            </w:r>
          </w:p>
        </w:tc>
      </w:tr>
      <w:tr>
        <w:tc>
          <w:tcPr>
            <w:tcW w:type="dxa" w:w="3264"/>
          </w:tcPr>
          <w:p>
            <w:r>
              <w:t>Foreground service</w:t>
            </w:r>
          </w:p>
        </w:tc>
        <w:tc>
          <w:tcPr>
            <w:tcW w:type="dxa" w:w="3264"/>
          </w:tcPr>
          <w:p>
            <w:r>
              <w:t>Not suitable</w:t>
            </w:r>
          </w:p>
        </w:tc>
        <w:tc>
          <w:tcPr>
            <w:tcW w:type="dxa" w:w="3264"/>
          </w:tcPr>
          <w:p>
            <w:r>
              <w:t>Runs as an application component and does not become the framework's universal mediation point</w:t>
            </w:r>
          </w:p>
        </w:tc>
      </w:tr>
      <w:tr>
        <w:tc>
          <w:tcPr>
            <w:tcW w:type="dxa" w:w="3264"/>
          </w:tcPr>
          <w:p>
            <w:r>
              <w:t>VPN</w:t>
            </w:r>
          </w:p>
        </w:tc>
        <w:tc>
          <w:tcPr>
            <w:tcW w:type="dxa" w:w="3264"/>
          </w:tcPr>
          <w:p>
            <w:r>
              <w:t>Wrong layer</w:t>
            </w:r>
          </w:p>
        </w:tc>
        <w:tc>
          <w:tcPr>
            <w:tcW w:type="dxa" w:w="3264"/>
          </w:tcPr>
          <w:p>
            <w:r>
              <w:t>Network interception does not directly mediate Android Location APIs</w:t>
            </w:r>
          </w:p>
        </w:tc>
      </w:tr>
      <w:tr>
        <w:tc>
          <w:tcPr>
            <w:tcW w:type="dxa" w:w="3264"/>
          </w:tcPr>
          <w:p>
            <w:r>
              <w:t>Accessibility</w:t>
            </w:r>
          </w:p>
        </w:tc>
        <w:tc>
          <w:tcPr>
            <w:tcW w:type="dxa" w:w="3264"/>
          </w:tcPr>
          <w:p>
            <w:r>
              <w:t>Wrong abstraction</w:t>
            </w:r>
          </w:p>
        </w:tc>
        <w:tc>
          <w:tcPr>
            <w:tcW w:type="dxa" w:w="3264"/>
          </w:tcPr>
          <w:p>
            <w:r>
              <w:t>Accessibility is not a location enforcement mechanism</w:t>
            </w:r>
          </w:p>
        </w:tc>
      </w:tr>
      <w:tr>
        <w:tc>
          <w:tcPr>
            <w:tcW w:type="dxa" w:w="3264"/>
          </w:tcPr>
          <w:p>
            <w:r>
              <w:t>Device Owner only</w:t>
            </w:r>
          </w:p>
        </w:tc>
        <w:tc>
          <w:tcPr>
            <w:tcW w:type="dxa" w:w="3264"/>
          </w:tcPr>
          <w:p>
            <w:r>
              <w:t>Insufficient</w:t>
            </w:r>
          </w:p>
        </w:tc>
        <w:tc>
          <w:tcPr>
            <w:tcW w:type="dxa" w:w="3264"/>
          </w:tcPr>
          <w:p>
            <w:r>
              <w:t>Can manage certain permissions/policies but is not equivalent to coordinate transformation in the location framework</w:t>
            </w:r>
          </w:p>
        </w:tc>
      </w:tr>
      <w:tr>
        <w:tc>
          <w:tcPr>
            <w:tcW w:type="dxa" w:w="3264"/>
          </w:tcPr>
          <w:p>
            <w:r>
              <w:t>Privileged system service</w:t>
            </w:r>
          </w:p>
        </w:tc>
        <w:tc>
          <w:tcPr>
            <w:tcW w:type="dxa" w:w="3264"/>
          </w:tcPr>
          <w:p>
            <w:r>
              <w:t>Selected</w:t>
            </w:r>
          </w:p>
        </w:tc>
        <w:tc>
          <w:tcPr>
            <w:tcW w:type="dxa" w:w="3264"/>
          </w:tcPr>
          <w:p>
            <w:r>
              <w:t>Matches Android's system-service architecture and trust boundary</w:t>
            </w:r>
          </w:p>
        </w:tc>
      </w:tr>
    </w:tbl>
    <w:p>
      <w:pPr>
        <w:pStyle w:val="Heading1"/>
      </w:pPr>
      <w:r>
        <w:t>5. Decision D2 — Dedicated LocationPrivacyManagerService</w:t>
      </w:r>
    </w:p>
    <w:p>
      <w:r>
        <w:rPr>
          <w:b w:val="0"/>
        </w:rPr>
        <w:t>Decision: use a dedicated privileged LocationPrivacyManagerService rather than putting all policy-management logic directly inside LocationManagerService.</w:t>
      </w:r>
    </w:p>
    <w:p>
      <w:r>
        <w:rPr>
          <w:b w:val="0"/>
        </w:rPr>
        <w:t>Rationale: LocationManagerService is already responsible for a broad set of Android location framework responsibilities. Turning it into the entire privacy-management subsystem would increase coupling and make policy management, storage, authorization, diagnostics, and research logic harder to isolate and test.</w:t>
      </w:r>
    </w:p>
    <w:p>
      <w:r>
        <w:rPr>
          <w:b w:val="0"/>
        </w:rPr>
        <w:t>The dedicated service owns the control-plane contract and system lifecycle while the policy engine remains independently testable.</w:t>
      </w:r>
    </w:p>
    <w:tbl>
      <w:tblPr>
        <w:tblStyle w:val="TableGrid"/>
        <w:tblW w:type="auto" w:w="0"/>
        <w:tblLook w:firstColumn="1" w:firstRow="1" w:lastColumn="0" w:lastRow="0" w:noHBand="0" w:noVBand="1" w:val="04A0"/>
      </w:tblPr>
      <w:tblGrid>
        <w:gridCol w:w="3264"/>
        <w:gridCol w:w="3264"/>
        <w:gridCol w:w="3264"/>
      </w:tblGrid>
      <w:tr>
        <w:tc>
          <w:tcPr>
            <w:tcW w:type="dxa" w:w="3264"/>
          </w:tcPr>
          <w:p>
            <w:r>
              <w:t>Responsibility</w:t>
            </w:r>
          </w:p>
        </w:tc>
        <w:tc>
          <w:tcPr>
            <w:tcW w:type="dxa" w:w="3264"/>
          </w:tcPr>
          <w:p>
            <w:r>
              <w:t>LocationPrivacyManagerService</w:t>
            </w:r>
          </w:p>
        </w:tc>
        <w:tc>
          <w:tcPr>
            <w:tcW w:type="dxa" w:w="3264"/>
          </w:tcPr>
          <w:p>
            <w:r>
              <w:t>Policy Engine</w:t>
            </w:r>
          </w:p>
        </w:tc>
      </w:tr>
      <w:tr>
        <w:tc>
          <w:tcPr>
            <w:tcW w:type="dxa" w:w="3264"/>
          </w:tcPr>
          <w:p>
            <w:r>
              <w:t>Binder API</w:t>
            </w:r>
          </w:p>
        </w:tc>
        <w:tc>
          <w:tcPr>
            <w:tcW w:type="dxa" w:w="3264"/>
          </w:tcPr>
          <w:p>
            <w:r>
              <w:t>Yes</w:t>
            </w:r>
          </w:p>
        </w:tc>
        <w:tc>
          <w:tcPr>
            <w:tcW w:type="dxa" w:w="3264"/>
          </w:tcPr>
          <w:p>
            <w:r>
              <w:t>No</w:t>
            </w:r>
          </w:p>
        </w:tc>
      </w:tr>
      <w:tr>
        <w:tc>
          <w:tcPr>
            <w:tcW w:type="dxa" w:w="3264"/>
          </w:tcPr>
          <w:p>
            <w:r>
              <w:t>Caller authorization</w:t>
            </w:r>
          </w:p>
        </w:tc>
        <w:tc>
          <w:tcPr>
            <w:tcW w:type="dxa" w:w="3264"/>
          </w:tcPr>
          <w:p>
            <w:r>
              <w:t>Yes</w:t>
            </w:r>
          </w:p>
        </w:tc>
        <w:tc>
          <w:tcPr>
            <w:tcW w:type="dxa" w:w="3264"/>
          </w:tcPr>
          <w:p>
            <w:r>
              <w:t>No</w:t>
            </w:r>
          </w:p>
        </w:tc>
      </w:tr>
      <w:tr>
        <w:tc>
          <w:tcPr>
            <w:tcW w:type="dxa" w:w="3264"/>
          </w:tcPr>
          <w:p>
            <w:r>
              <w:t>Policy CRUD</w:t>
            </w:r>
          </w:p>
        </w:tc>
        <w:tc>
          <w:tcPr>
            <w:tcW w:type="dxa" w:w="3264"/>
          </w:tcPr>
          <w:p>
            <w:r>
              <w:t>Yes</w:t>
            </w:r>
          </w:p>
        </w:tc>
        <w:tc>
          <w:tcPr>
            <w:tcW w:type="dxa" w:w="3264"/>
          </w:tcPr>
          <w:p>
            <w:r>
              <w:t>No/through service</w:t>
            </w:r>
          </w:p>
        </w:tc>
      </w:tr>
      <w:tr>
        <w:tc>
          <w:tcPr>
            <w:tcW w:type="dxa" w:w="3264"/>
          </w:tcPr>
          <w:p>
            <w:r>
              <w:t>Persistence coordination</w:t>
            </w:r>
          </w:p>
        </w:tc>
        <w:tc>
          <w:tcPr>
            <w:tcW w:type="dxa" w:w="3264"/>
          </w:tcPr>
          <w:p>
            <w:r>
              <w:t>Yes</w:t>
            </w:r>
          </w:p>
        </w:tc>
        <w:tc>
          <w:tcPr>
            <w:tcW w:type="dxa" w:w="3264"/>
          </w:tcPr>
          <w:p>
            <w:r>
              <w:t>No</w:t>
            </w:r>
          </w:p>
        </w:tc>
      </w:tr>
      <w:tr>
        <w:tc>
          <w:tcPr>
            <w:tcW w:type="dxa" w:w="3264"/>
          </w:tcPr>
          <w:p>
            <w:r>
              <w:t>Policy evaluation</w:t>
            </w:r>
          </w:p>
        </w:tc>
        <w:tc>
          <w:tcPr>
            <w:tcW w:type="dxa" w:w="3264"/>
          </w:tcPr>
          <w:p>
            <w:r>
              <w:t>Delegates</w:t>
            </w:r>
          </w:p>
        </w:tc>
        <w:tc>
          <w:tcPr>
            <w:tcW w:type="dxa" w:w="3264"/>
          </w:tcPr>
          <w:p>
            <w:r>
              <w:t>Yes</w:t>
            </w:r>
          </w:p>
        </w:tc>
      </w:tr>
      <w:tr>
        <w:tc>
          <w:tcPr>
            <w:tcW w:type="dxa" w:w="3264"/>
          </w:tcPr>
          <w:p>
            <w:r>
              <w:t>Pure decision logic</w:t>
            </w:r>
          </w:p>
        </w:tc>
        <w:tc>
          <w:tcPr>
            <w:tcW w:type="dxa" w:w="3264"/>
          </w:tcPr>
          <w:p>
            <w:r>
              <w:t>No</w:t>
            </w:r>
          </w:p>
        </w:tc>
        <w:tc>
          <w:tcPr>
            <w:tcW w:type="dxa" w:w="3264"/>
          </w:tcPr>
          <w:p>
            <w:r>
              <w:t>Yes</w:t>
            </w:r>
          </w:p>
        </w:tc>
      </w:tr>
      <w:tr>
        <w:tc>
          <w:tcPr>
            <w:tcW w:type="dxa" w:w="3264"/>
          </w:tcPr>
          <w:p>
            <w:r>
              <w:t>Research unit tests</w:t>
            </w:r>
          </w:p>
        </w:tc>
        <w:tc>
          <w:tcPr>
            <w:tcW w:type="dxa" w:w="3264"/>
          </w:tcPr>
          <w:p>
            <w:r>
              <w:t>Limited</w:t>
            </w:r>
          </w:p>
        </w:tc>
        <w:tc>
          <w:tcPr>
            <w:tcW w:type="dxa" w:w="3264"/>
          </w:tcPr>
          <w:p>
            <w:r>
              <w:t>Primary</w:t>
            </w:r>
          </w:p>
        </w:tc>
      </w:tr>
      <w:tr>
        <w:tc>
          <w:tcPr>
            <w:tcW w:type="dxa" w:w="3264"/>
          </w:tcPr>
          <w:p>
            <w:r>
              <w:t>System lifecycle</w:t>
            </w:r>
          </w:p>
        </w:tc>
        <w:tc>
          <w:tcPr>
            <w:tcW w:type="dxa" w:w="3264"/>
          </w:tcPr>
          <w:p>
            <w:r>
              <w:t>Yes</w:t>
            </w:r>
          </w:p>
        </w:tc>
        <w:tc>
          <w:tcPr>
            <w:tcW w:type="dxa" w:w="3264"/>
          </w:tcPr>
          <w:p>
            <w:r>
              <w:t>No</w:t>
            </w:r>
          </w:p>
        </w:tc>
      </w:tr>
    </w:tbl>
    <w:p>
      <w:pPr>
        <w:pStyle w:val="Heading1"/>
      </w:pPr>
      <w:r>
        <w:t>6. Decision D3 — Local Hot Path</w:t>
      </w:r>
    </w:p>
    <w:p>
      <w:r>
        <w:rPr>
          <w:b w:val="0"/>
        </w:rPr>
        <w:t>Decision: the high-frequency location-delivery path should call policy logic through an in-process/local interface rather than performing a Binder round trip to the Control APK or an external process for every update.</w:t>
      </w:r>
    </w:p>
    <w:p>
      <w:r>
        <w:rPr>
          <w:b w:val="0"/>
        </w:rPr>
        <w:t>Rationale: location updates can occur frequently. Sending each update through an application-process IPC path would introduce unnecessary latency, scheduling overhead, and additional attack surface.</w:t>
      </w:r>
    </w:p>
    <w:p>
      <w:pPr>
        <w:ind w:left="360"/>
      </w:pPr>
      <w:r>
        <w:rPr>
          <w:rFonts w:ascii="Consolas" w:hAnsi="Consolas"/>
          <w:sz w:val="18"/>
        </w:rPr>
        <w:t>LocationManagerService</w:t>
        <w:br/>
        <w:t xml:space="preserve">        │</w:t>
        <w:br/>
        <w:t xml:space="preserve">        │ local/in-process call</w:t>
        <w:br/>
        <w:t xml:space="preserve">        ▼</w:t>
        <w:br/>
        <w:t>Policy Engine</w:t>
        <w:br/>
        <w:t xml:space="preserve">        │</w:t>
        <w:br/>
        <w:t xml:space="preserve">        ▼</w:t>
        <w:br/>
        <w:t>Transformation / Sanitization</w:t>
        <w:br/>
        <w:t xml:space="preserve">        │</w:t>
        <w:br/>
        <w:t xml:space="preserve">        ▼</w:t>
        <w:br/>
        <w:t>Application</w:t>
      </w:r>
    </w:p>
    <w:p>
      <w:r>
        <w:rPr>
          <w:b w:val="0"/>
        </w:rPr>
        <w:t>Binder is therefore primarily used for policy management, configuration, diagnostics, and control-plane operations.</w:t>
      </w:r>
    </w:p>
    <w:p>
      <w:pPr>
        <w:pStyle w:val="Heading1"/>
      </w:pPr>
      <w:r>
        <w:t>7. Decision D4 — Effective Policy</w:t>
      </w:r>
    </w:p>
    <w:p>
      <w:r>
        <w:rPr>
          <w:b w:val="0"/>
        </w:rPr>
        <w:t>Decision: Android authorization and ALPF restrictions are combined into an effective policy before enforcement.</w:t>
      </w:r>
    </w:p>
    <w:p>
      <w:pPr>
        <w:ind w:left="360"/>
      </w:pPr>
      <w:r>
        <w:rPr>
          <w:rFonts w:ascii="Consolas" w:hAnsi="Consolas"/>
          <w:sz w:val="18"/>
        </w:rPr>
        <w:t>Android Permission</w:t>
        <w:br/>
        <w:t xml:space="preserve">        +</w:t>
        <w:br/>
        <w:t>ALPF User Policy</w:t>
        <w:br/>
        <w:t xml:space="preserve">        ↓</w:t>
        <w:br/>
        <w:t>Effective Policy</w:t>
      </w:r>
    </w:p>
    <w:p>
      <w:r>
        <w:rPr>
          <w:b w:val="0"/>
        </w:rPr>
        <w:t>Rationale: ALPF must never become an accidental privilege-escalation layer. The framework can reduce access but cannot authorize an application beyond Android's underlying permission state.</w:t>
      </w:r>
    </w:p>
    <w:p>
      <w:r>
        <w:rPr>
          <w:b w:val="0"/>
        </w:rPr>
        <w:t>This also creates a clean security invariant for implementation and testing.</w:t>
      </w:r>
    </w:p>
    <w:p>
      <w:pPr>
        <w:pStyle w:val="Heading1"/>
      </w:pPr>
      <w:r>
        <w:t>8. Decision D5 — Separate Policy Engine</w:t>
      </w:r>
    </w:p>
    <w:p>
      <w:r>
        <w:rPr>
          <w:b w:val="0"/>
        </w:rPr>
        <w:t>Decision: implement policy evaluation as a separate, deterministic component.</w:t>
      </w:r>
    </w:p>
    <w:p>
      <w:r>
        <w:rPr>
          <w:b w:val="0"/>
        </w:rPr>
        <w:t>Rationale: policy evaluation is a research object in its own right. Separating it from Android-specific hooks/framework code enables unit testing, property testing, simulation, benchmarking, and reuse across the LSPosed prototype and AOSP implementation.</w:t>
      </w:r>
    </w:p>
    <w:p>
      <w:pPr>
        <w:ind w:left="360"/>
      </w:pPr>
      <w:r>
        <w:rPr>
          <w:rFonts w:ascii="Consolas" w:hAnsi="Consolas"/>
          <w:sz w:val="18"/>
        </w:rPr>
        <w:t>PolicyEngine.evaluate(</w:t>
        <w:br/>
        <w:t xml:space="preserve">    ApplicationIdentity,</w:t>
        <w:br/>
        <w:t xml:space="preserve">    EffectivePolicy,</w:t>
        <w:br/>
        <w:t xml:space="preserve">    RequestContext,</w:t>
        <w:br/>
        <w:t xml:space="preserve">    LocationSource</w:t>
        <w:br/>
        <w:t>)</w:t>
        <w:br/>
        <w:t xml:space="preserve">        ↓</w:t>
        <w:br/>
        <w:t>PolicyDecision</w:t>
      </w:r>
    </w:p>
    <w:p>
      <w:pPr>
        <w:pStyle w:val="Heading1"/>
      </w:pPr>
      <w:r>
        <w:t>9. Decision D6 — Transformation Engine</w:t>
      </w:r>
    </w:p>
    <w:p>
      <w:r>
        <w:rPr>
          <w:b w:val="0"/>
        </w:rPr>
        <w:t>Decision: location transformation is separated from policy evaluation.</w:t>
      </w:r>
    </w:p>
    <w:p>
      <w:r>
        <w:rPr>
          <w:b w:val="0"/>
        </w:rPr>
        <w:t>Rationale: the policy engine should answer 'what is allowed?' while the transformation engine answers 'how is the allowed representation produced?' Mixing these concerns would make policy logic harder to reason about and transformations harder to test.</w:t>
      </w:r>
    </w:p>
    <w:tbl>
      <w:tblPr>
        <w:tblStyle w:val="TableGrid"/>
        <w:tblW w:type="auto" w:w="0"/>
        <w:tblLook w:firstColumn="1" w:firstRow="1" w:lastColumn="0" w:lastRow="0" w:noHBand="0" w:noVBand="1" w:val="04A0"/>
      </w:tblPr>
      <w:tblGrid>
        <w:gridCol w:w="4896"/>
        <w:gridCol w:w="4896"/>
      </w:tblGrid>
      <w:tr>
        <w:tc>
          <w:tcPr>
            <w:tcW w:type="dxa" w:w="4896"/>
          </w:tcPr>
          <w:p>
            <w:r>
              <w:t>Component</w:t>
            </w:r>
          </w:p>
        </w:tc>
        <w:tc>
          <w:tcPr>
            <w:tcW w:type="dxa" w:w="4896"/>
          </w:tcPr>
          <w:p>
            <w:r>
              <w:t>Question Answered</w:t>
            </w:r>
          </w:p>
        </w:tc>
      </w:tr>
      <w:tr>
        <w:tc>
          <w:tcPr>
            <w:tcW w:type="dxa" w:w="4896"/>
          </w:tcPr>
          <w:p>
            <w:r>
              <w:t>Policy Engine</w:t>
            </w:r>
          </w:p>
        </w:tc>
        <w:tc>
          <w:tcPr>
            <w:tcW w:type="dxa" w:w="4896"/>
          </w:tcPr>
          <w:p>
            <w:r>
              <w:t>May the application receive location, and under what restrictions?</w:t>
            </w:r>
          </w:p>
        </w:tc>
      </w:tr>
      <w:tr>
        <w:tc>
          <w:tcPr>
            <w:tcW w:type="dxa" w:w="4896"/>
          </w:tcPr>
          <w:p>
            <w:r>
              <w:t>Transformation Engine</w:t>
            </w:r>
          </w:p>
        </w:tc>
        <w:tc>
          <w:tcPr>
            <w:tcW w:type="dxa" w:w="4896"/>
          </w:tcPr>
          <w:p>
            <w:r>
              <w:t>How should the location be transformed to satisfy those restrictions?</w:t>
            </w:r>
          </w:p>
        </w:tc>
      </w:tr>
      <w:tr>
        <w:tc>
          <w:tcPr>
            <w:tcW w:type="dxa" w:w="4896"/>
          </w:tcPr>
          <w:p>
            <w:r>
              <w:t>Metadata Sanitizer</w:t>
            </w:r>
          </w:p>
        </w:tc>
        <w:tc>
          <w:tcPr>
            <w:tcW w:type="dxa" w:w="4896"/>
          </w:tcPr>
          <w:p>
            <w:r>
              <w:t>What associated fields must change so the representation remains consistent?</w:t>
            </w:r>
          </w:p>
        </w:tc>
      </w:tr>
      <w:tr>
        <w:tc>
          <w:tcPr>
            <w:tcW w:type="dxa" w:w="4896"/>
          </w:tcPr>
          <w:p>
            <w:r>
              <w:t>Temporal Controller</w:t>
            </w:r>
          </w:p>
        </w:tc>
        <w:tc>
          <w:tcPr>
            <w:tcW w:type="dxa" w:w="4896"/>
          </w:tcPr>
          <w:p>
            <w:r>
              <w:t>May location be delivered at this point in time?</w:t>
            </w:r>
          </w:p>
        </w:tc>
      </w:tr>
    </w:tbl>
    <w:p>
      <w:pPr>
        <w:pStyle w:val="Heading1"/>
      </w:pPr>
      <w:r>
        <w:t>10. Decision D7 — Delivery-Time Enforcement</w:t>
      </w:r>
    </w:p>
    <w:p>
      <w:r>
        <w:rPr>
          <w:b w:val="0"/>
        </w:rPr>
        <w:t>Decision: enforce policy on location delivery as well as request admission.</w:t>
      </w:r>
    </w:p>
    <w:p>
      <w:r>
        <w:rPr>
          <w:b w:val="0"/>
        </w:rPr>
        <w:t>Rationale: request-time control alone cannot protect cached, passive, asynchronous, or already-running delivery paths. A request can be permitted under one state and a delivery can occur after policy state changes.</w:t>
      </w:r>
    </w:p>
    <w:p>
      <w:pPr>
        <w:ind w:left="360"/>
      </w:pPr>
      <w:r>
        <w:rPr>
          <w:rFonts w:ascii="Consolas" w:hAnsi="Consolas"/>
          <w:sz w:val="18"/>
        </w:rPr>
        <w:t>REQUEST</w:t>
        <w:br/>
        <w:t xml:space="preserve">  ↓</w:t>
        <w:br/>
        <w:t>Policy Evaluation</w:t>
        <w:br/>
        <w:t xml:space="preserve">  ↓</w:t>
        <w:br/>
        <w:t>Provider</w:t>
        <w:br/>
        <w:t xml:space="preserve">  ↓</w:t>
        <w:br/>
        <w:t>RAW LOCATION</w:t>
        <w:br/>
        <w:t xml:space="preserve">  ↓</w:t>
        <w:br/>
        <w:t>Policy / Temporal Re-evaluation</w:t>
        <w:br/>
        <w:t xml:space="preserve">  ↓</w:t>
        <w:br/>
        <w:t>Transformation</w:t>
        <w:br/>
        <w:t xml:space="preserve">  ↓</w:t>
        <w:br/>
        <w:t>Metadata Sanitization</w:t>
        <w:br/>
        <w:t xml:space="preserve">  ↓</w:t>
        <w:br/>
        <w:t>DELIVERY</w:t>
      </w:r>
    </w:p>
    <w:p>
      <w:r>
        <w:rPr>
          <w:b w:val="0"/>
        </w:rPr>
        <w:t>This design directly addresses the threat-model distinction between request-path and delivery-path bypasses.</w:t>
      </w:r>
    </w:p>
    <w:p>
      <w:pPr>
        <w:pStyle w:val="Heading1"/>
      </w:pPr>
      <w:r>
        <w:t>11. Decision D8 — Metadata Sanitization</w:t>
      </w:r>
    </w:p>
    <w:p>
      <w:r>
        <w:rPr>
          <w:b w:val="0"/>
        </w:rPr>
        <w:t>Decision: transformed coordinates are not sufficient by themselves; relevant metadata must be evaluated.</w:t>
      </w:r>
    </w:p>
    <w:p>
      <w:r>
        <w:rPr>
          <w:b w:val="0"/>
        </w:rPr>
        <w:t>Rationale: returning a coarse coordinate while leaving metadata that indicates very high precision, exact timing, or detailed movement could undermine the intended policy.</w:t>
      </w:r>
    </w:p>
    <w:p>
      <w:pPr>
        <w:pStyle w:val="ListBullet"/>
      </w:pPr>
      <w:r>
        <w:t>Latitude/longitude</w:t>
      </w:r>
    </w:p>
    <w:p>
      <w:pPr>
        <w:pStyle w:val="ListBullet"/>
      </w:pPr>
      <w:r>
        <w:t>Accuracy</w:t>
      </w:r>
    </w:p>
    <w:p>
      <w:pPr>
        <w:pStyle w:val="ListBullet"/>
      </w:pPr>
      <w:r>
        <w:t>Altitude</w:t>
      </w:r>
    </w:p>
    <w:p>
      <w:pPr>
        <w:pStyle w:val="ListBullet"/>
      </w:pPr>
      <w:r>
        <w:t>Speed</w:t>
      </w:r>
    </w:p>
    <w:p>
      <w:pPr>
        <w:pStyle w:val="ListBullet"/>
      </w:pPr>
      <w:r>
        <w:t>Bearing</w:t>
      </w:r>
    </w:p>
    <w:p>
      <w:pPr>
        <w:pStyle w:val="ListBullet"/>
      </w:pPr>
      <w:r>
        <w:t>Timestamp</w:t>
      </w:r>
    </w:p>
    <w:p>
      <w:pPr>
        <w:pStyle w:val="ListBullet"/>
      </w:pPr>
      <w:r>
        <w:t>Elapsed realtime information</w:t>
      </w:r>
    </w:p>
    <w:p>
      <w:pPr>
        <w:pStyle w:val="ListBullet"/>
      </w:pPr>
      <w:r>
        <w:t>Provider identity</w:t>
      </w:r>
    </w:p>
    <w:p>
      <w:pPr>
        <w:pStyle w:val="ListBullet"/>
      </w:pPr>
      <w:r>
        <w:t>Relevant extras</w:t>
      </w:r>
    </w:p>
    <w:p>
      <w:r>
        <w:rPr>
          <w:b w:val="0"/>
        </w:rPr>
        <w:t>The exact fields and transformation semantics will be defined in the Transformation Engine Specification.</w:t>
      </w:r>
    </w:p>
    <w:p>
      <w:pPr>
        <w:pStyle w:val="Heading1"/>
      </w:pPr>
      <w:r>
        <w:t>12. Decision D9 — Temporal Controller</w:t>
      </w:r>
    </w:p>
    <w:p>
      <w:r>
        <w:rPr>
          <w:b w:val="0"/>
        </w:rPr>
        <w:t>Decision: temporal policy is a first-class component rather than an incidental request parameter.</w:t>
      </w:r>
    </w:p>
    <w:p>
      <w:r>
        <w:rPr>
          <w:b w:val="0"/>
        </w:rPr>
        <w:t>Rationale: location privacy is not only spatial. Repeated observations can reveal movement and routines even when each individual observation is relatively coarse.</w:t>
      </w:r>
    </w:p>
    <w:p>
      <w:pPr>
        <w:ind w:left="360"/>
      </w:pPr>
      <w:r>
        <w:rPr>
          <w:rFonts w:ascii="Consolas" w:hAnsi="Consolas"/>
          <w:sz w:val="18"/>
        </w:rPr>
        <w:t>Last permitted delivery</w:t>
        <w:br/>
        <w:t xml:space="preserve">        +</w:t>
        <w:br/>
        <w:t>Current time</w:t>
        <w:br/>
        <w:t xml:space="preserve">        +</w:t>
        <w:br/>
        <w:t>Temporal policy</w:t>
        <w:br/>
        <w:t xml:space="preserve">        ↓</w:t>
        <w:br/>
        <w:t>Delivery decision</w:t>
      </w:r>
    </w:p>
    <w:p>
      <w:r>
        <w:rPr>
          <w:b w:val="0"/>
        </w:rPr>
        <w:t>The controller must operate on delivery state and must define behavior for concurrent requests and policy changes.</w:t>
      </w:r>
    </w:p>
    <w:p>
      <w:pPr>
        <w:pStyle w:val="Heading1"/>
      </w:pPr>
      <w:r>
        <w:t>13. Decision D10 — Cached and Passive Location</w:t>
      </w:r>
    </w:p>
    <w:p>
      <w:r>
        <w:rPr>
          <w:b w:val="0"/>
        </w:rPr>
        <w:t>Decision: cached and passive location are explicitly included in the security model.</w:t>
      </w:r>
    </w:p>
    <w:p>
      <w:r>
        <w:rPr>
          <w:b w:val="0"/>
        </w:rPr>
        <w:t>Rationale: a system that transforms only newly generated precise locations can still expose previously generated high-precision information through last-known or passive mechanisms.</w:t>
      </w:r>
    </w:p>
    <w:p>
      <w:r>
        <w:rPr>
          <w:b w:val="0"/>
        </w:rPr>
        <w:t>These paths therefore require dedicated enforcement analysis and tests.</w:t>
      </w:r>
    </w:p>
    <w:p>
      <w:pPr>
        <w:pStyle w:val="Heading1"/>
      </w:pPr>
      <w:r>
        <w:t>14. Decision D11 — Geofence as Location Information</w:t>
      </w:r>
    </w:p>
    <w:p>
      <w:r>
        <w:rPr>
          <w:b w:val="0"/>
        </w:rPr>
        <w:t>Decision: geofence registration and event delivery are treated as location-revealing mechanisms.</w:t>
      </w:r>
    </w:p>
    <w:p>
      <w:r>
        <w:rPr>
          <w:b w:val="0"/>
        </w:rPr>
        <w:t>Rationale: an application does not necessarily need a latitude/longitude coordinate to learn that the device entered or exited a particular area. Such events can reveal location and time.</w:t>
      </w:r>
    </w:p>
    <w:p>
      <w:r>
        <w:rPr>
          <w:b w:val="0"/>
        </w:rPr>
        <w:t>The exact enforcement mechanism depends on the Android implementation path and will be mapped in the later API &amp; Enforcement Matrix.</w:t>
      </w:r>
    </w:p>
    <w:p>
      <w:pPr>
        <w:pStyle w:val="Heading1"/>
      </w:pPr>
      <w:r>
        <w:t>15. Decision D12 — Source-Aware Policy</w:t>
      </w:r>
    </w:p>
    <w:p>
      <w:r>
        <w:rPr>
          <w:b w:val="0"/>
        </w:rPr>
        <w:t>Decision: the policy model includes source as a dimension even where V1 cannot yet control every source.</w:t>
      </w:r>
    </w:p>
    <w:p>
      <w:r>
        <w:rPr>
          <w:b w:val="0"/>
        </w:rPr>
        <w:t>Rationale: omitting source from the model would make it difficult to reason about alternative paths such as GNSS, fused, passive, Wi-Fi-derived, Bluetooth-derived, and cellular-derived information.</w:t>
      </w:r>
    </w:p>
    <w:p>
      <w:r>
        <w:rPr>
          <w:b w:val="0"/>
        </w:rPr>
        <w:t>The architecture therefore distinguishes 'policy can express a restriction' from 'current implementation can enforce that restriction.'</w:t>
      </w:r>
    </w:p>
    <w:p>
      <w:pPr>
        <w:pStyle w:val="Heading1"/>
      </w:pPr>
      <w:r>
        <w:t>16. Decision D13 — GMS as an Explicit Boundary</w:t>
      </w:r>
    </w:p>
    <w:p>
      <w:r>
        <w:rPr>
          <w:b w:val="0"/>
        </w:rPr>
        <w:t>Decision: Google Play Services/fused-location behavior is treated as a separate compatibility and enforcement question.</w:t>
      </w:r>
    </w:p>
    <w:p>
      <w:r>
        <w:rPr>
          <w:b w:val="0"/>
        </w:rPr>
        <w:t>Rationale: modifying an AOSP framework component does not automatically prove that every Google Play Services-mediated location path is controlled. Assuming otherwise would create an unjustified security claim.</w:t>
      </w:r>
    </w:p>
    <w:p>
      <w:r>
        <w:rPr>
          <w:b w:val="0"/>
        </w:rPr>
        <w:t>The implementation and evaluation will therefore test GMS paths separately and document coverage.</w:t>
      </w:r>
    </w:p>
    <w:p>
      <w:pPr>
        <w:pStyle w:val="Heading1"/>
      </w:pPr>
      <w:r>
        <w:t>17. Decision D14 — Prototype Before AOSP</w:t>
      </w:r>
    </w:p>
    <w:p>
      <w:r>
        <w:rPr>
          <w:b w:val="0"/>
        </w:rPr>
        <w:t>Decision: develop the Policy Engine and a practical runtime prototype before performing extensive AOSP modification.</w:t>
      </w:r>
    </w:p>
    <w:p>
      <w:r>
        <w:rPr>
          <w:b w:val="0"/>
        </w:rPr>
        <w:t>Rationale: AOSP changes are expensive to iterate on. A prototype can validate policy semantics, transformations, temporal behavior, application compatibility, and attack hypotheses before the final system integration.</w:t>
      </w:r>
    </w:p>
    <w:p>
      <w:pPr>
        <w:ind w:left="360"/>
      </w:pPr>
      <w:r>
        <w:rPr>
          <w:rFonts w:ascii="Consolas" w:hAnsi="Consolas"/>
          <w:sz w:val="18"/>
        </w:rPr>
        <w:t>Policy Model</w:t>
        <w:br/>
        <w:t xml:space="preserve">     ↓</w:t>
        <w:br/>
        <w:t>Policy Engine</w:t>
        <w:br/>
        <w:t xml:space="preserve">     ↓</w:t>
        <w:br/>
        <w:t>Transformation Engine</w:t>
        <w:br/>
        <w:t xml:space="preserve">     ↓</w:t>
        <w:br/>
        <w:t>Android Test Harness</w:t>
        <w:br/>
        <w:t xml:space="preserve">     ↓</w:t>
        <w:br/>
        <w:t>LSPosed Prototype</w:t>
        <w:br/>
        <w:t xml:space="preserve">     ↓</w:t>
        <w:br/>
        <w:t>Security Experiments</w:t>
        <w:br/>
        <w:t xml:space="preserve">     ↓</w:t>
        <w:br/>
        <w:t>AOSP Integration</w:t>
      </w:r>
    </w:p>
    <w:p>
      <w:r>
        <w:rPr>
          <w:b w:val="0"/>
        </w:rPr>
        <w:t>The prototype is therefore an engineering/research instrument, not the final trust architecture.</w:t>
      </w:r>
    </w:p>
    <w:p>
      <w:pPr>
        <w:pStyle w:val="Heading1"/>
      </w:pPr>
      <w:r>
        <w:t>18. Decision D15 — AOSP as Final Enforcement Target</w:t>
      </w:r>
    </w:p>
    <w:p>
      <w:r>
        <w:rPr>
          <w:b w:val="0"/>
        </w:rPr>
        <w:t>Decision: the final research implementation should target the Android framework/system-service layer where practical.</w:t>
      </w:r>
    </w:p>
    <w:p>
      <w:r>
        <w:rPr>
          <w:b w:val="0"/>
        </w:rPr>
        <w:t>Rationale: this provides a stronger basis for a trusted system-level mediation claim than a conventional application-only implementation.</w:t>
      </w:r>
    </w:p>
    <w:p>
      <w:r>
        <w:rPr>
          <w:b w:val="0"/>
        </w:rPr>
        <w:t>The exact source modifications are intentionally deferred until the Android 14/15/16 enforcement-path analysis is complete.</w:t>
      </w:r>
    </w:p>
    <w:p>
      <w:pPr>
        <w:pStyle w:val="Heading1"/>
      </w:pPr>
      <w:r>
        <w:t>19. Decision D16 — Fail-Safe Behavior</w:t>
      </w:r>
    </w:p>
    <w:p>
      <w:r>
        <w:rPr>
          <w:b w:val="0"/>
        </w:rPr>
        <w:t>Decision: security-critical failures must not silently fall back to unrestricted raw location.</w:t>
      </w:r>
    </w:p>
    <w:p>
      <w:r>
        <w:rPr>
          <w:b w:val="0"/>
        </w:rPr>
        <w:t>Rationale: a transformation failure or policy-storage problem should not convert a restricted application into an unrestricted application.</w:t>
      </w:r>
    </w:p>
    <w:tbl>
      <w:tblPr>
        <w:tblStyle w:val="TableGrid"/>
        <w:tblW w:type="auto" w:w="0"/>
        <w:tblLook w:firstColumn="1" w:firstRow="1" w:lastColumn="0" w:lastRow="0" w:noHBand="0" w:noVBand="1" w:val="04A0"/>
      </w:tblPr>
      <w:tblGrid>
        <w:gridCol w:w="4896"/>
        <w:gridCol w:w="4896"/>
      </w:tblGrid>
      <w:tr>
        <w:tc>
          <w:tcPr>
            <w:tcW w:type="dxa" w:w="4896"/>
          </w:tcPr>
          <w:p>
            <w:r>
              <w:t>Failure</w:t>
            </w:r>
          </w:p>
        </w:tc>
        <w:tc>
          <w:tcPr>
            <w:tcW w:type="dxa" w:w="4896"/>
          </w:tcPr>
          <w:p>
            <w:r>
              <w:t>Design Response</w:t>
            </w:r>
          </w:p>
        </w:tc>
      </w:tr>
      <w:tr>
        <w:tc>
          <w:tcPr>
            <w:tcW w:type="dxa" w:w="4896"/>
          </w:tcPr>
          <w:p>
            <w:r>
              <w:t>Invalid policy</w:t>
            </w:r>
          </w:p>
        </w:tc>
        <w:tc>
          <w:tcPr>
            <w:tcW w:type="dxa" w:w="4896"/>
          </w:tcPr>
          <w:p>
            <w:r>
              <w:t>Reject and preserve last valid policy</w:t>
            </w:r>
          </w:p>
        </w:tc>
      </w:tr>
      <w:tr>
        <w:tc>
          <w:tcPr>
            <w:tcW w:type="dxa" w:w="4896"/>
          </w:tcPr>
          <w:p>
            <w:r>
              <w:t>Transformation failure</w:t>
            </w:r>
          </w:p>
        </w:tc>
        <w:tc>
          <w:tcPr>
            <w:tcW w:type="dxa" w:w="4896"/>
          </w:tcPr>
          <w:p>
            <w:r>
              <w:t>Apply safe restriction; never silently release raw data</w:t>
            </w:r>
          </w:p>
        </w:tc>
      </w:tr>
      <w:tr>
        <w:tc>
          <w:tcPr>
            <w:tcW w:type="dxa" w:w="4896"/>
          </w:tcPr>
          <w:p>
            <w:r>
              <w:t>Unknown identity</w:t>
            </w:r>
          </w:p>
        </w:tc>
        <w:tc>
          <w:tcPr>
            <w:tcW w:type="dxa" w:w="4896"/>
          </w:tcPr>
          <w:p>
            <w:r>
              <w:t>Do not inherit another app's permissive policy</w:t>
            </w:r>
          </w:p>
        </w:tc>
      </w:tr>
      <w:tr>
        <w:tc>
          <w:tcPr>
            <w:tcW w:type="dxa" w:w="4896"/>
          </w:tcPr>
          <w:p>
            <w:r>
              <w:t>Policy service restart</w:t>
            </w:r>
          </w:p>
        </w:tc>
        <w:tc>
          <w:tcPr>
            <w:tcW w:type="dxa" w:w="4896"/>
          </w:tcPr>
          <w:p>
            <w:r>
              <w:t>Recover persisted policy before normal enforcement</w:t>
            </w:r>
          </w:p>
        </w:tc>
      </w:tr>
      <w:tr>
        <w:tc>
          <w:tcPr>
            <w:tcW w:type="dxa" w:w="4896"/>
          </w:tcPr>
          <w:p>
            <w:r>
              <w:t>Policy-state ambiguity</w:t>
            </w:r>
          </w:p>
        </w:tc>
        <w:tc>
          <w:tcPr>
            <w:tcW w:type="dxa" w:w="4896"/>
          </w:tcPr>
          <w:p>
            <w:r>
              <w:t>Use defined restrictive fallback</w:t>
            </w:r>
          </w:p>
        </w:tc>
      </w:tr>
      <w:tr>
        <w:tc>
          <w:tcPr>
            <w:tcW w:type="dxa" w:w="4896"/>
          </w:tcPr>
          <w:p>
            <w:r>
              <w:t>Audit failure</w:t>
            </w:r>
          </w:p>
        </w:tc>
        <w:tc>
          <w:tcPr>
            <w:tcW w:type="dxa" w:w="4896"/>
          </w:tcPr>
          <w:p>
            <w:r>
              <w:t>Do not disable enforcement</w:t>
            </w:r>
          </w:p>
        </w:tc>
      </w:tr>
    </w:tbl>
    <w:p>
      <w:pPr>
        <w:pStyle w:val="Heading1"/>
      </w:pPr>
      <w:r>
        <w:t>20. Decision D17 — Policy Storage</w:t>
      </w:r>
    </w:p>
    <w:p>
      <w:r>
        <w:rPr>
          <w:b w:val="0"/>
        </w:rPr>
        <w:t>Decision: policy persistence is part of the trusted control plane, while the Control APK remains a client of that state.</w:t>
      </w:r>
    </w:p>
    <w:p>
      <w:r>
        <w:rPr>
          <w:b w:val="0"/>
        </w:rPr>
        <w:t>Rationale: policy integrity is security-critical. Storing authoritative policy only in ordinary application state would make it unnecessarily dependent on the UI process and its lifecycle.</w:t>
      </w:r>
    </w:p>
    <w:p>
      <w:r>
        <w:rPr>
          <w:b w:val="0"/>
        </w:rPr>
        <w:t>The exact persistence mechanism will be selected during AOSP/system-service design based on Android storage conventions and security requirements.</w:t>
      </w:r>
    </w:p>
    <w:p>
      <w:pPr>
        <w:pStyle w:val="Heading1"/>
      </w:pPr>
      <w:r>
        <w:t>21. Decision D18 — Audit Design</w:t>
      </w:r>
    </w:p>
    <w:p>
      <w:r>
        <w:rPr>
          <w:b w:val="0"/>
        </w:rPr>
        <w:t>Decision: diagnostics must expose enforcement outcomes without becoming a raw-location logging mechanism.</w:t>
      </w:r>
    </w:p>
    <w:p>
      <w:r>
        <w:rPr>
          <w:b w:val="0"/>
        </w:rPr>
        <w:t>Rationale: security testing requires visibility into policy decisions, but storing every raw coordinate would create a new privacy vulnerability.</w:t>
      </w:r>
    </w:p>
    <w:p>
      <w:pPr>
        <w:pStyle w:val="ListBullet"/>
      </w:pPr>
      <w:r>
        <w:t>Decision outcome</w:t>
      </w:r>
    </w:p>
    <w:p>
      <w:pPr>
        <w:pStyle w:val="ListBullet"/>
      </w:pPr>
      <w:r>
        <w:t>Policy version</w:t>
      </w:r>
    </w:p>
    <w:p>
      <w:pPr>
        <w:pStyle w:val="ListBullet"/>
      </w:pPr>
      <w:r>
        <w:t>Application identity</w:t>
      </w:r>
    </w:p>
    <w:p>
      <w:pPr>
        <w:pStyle w:val="ListBullet"/>
      </w:pPr>
      <w:r>
        <w:t>Source category</w:t>
      </w:r>
    </w:p>
    <w:p>
      <w:pPr>
        <w:pStyle w:val="ListBullet"/>
      </w:pPr>
      <w:r>
        <w:t>Transformation mode</w:t>
      </w:r>
    </w:p>
    <w:p>
      <w:pPr>
        <w:pStyle w:val="ListBullet"/>
      </w:pPr>
      <w:r>
        <w:t>Temporal restriction outcome</w:t>
      </w:r>
    </w:p>
    <w:p>
      <w:pPr>
        <w:pStyle w:val="ListBullet"/>
      </w:pPr>
      <w:r>
        <w:t>Test identifier where applicable</w:t>
      </w:r>
    </w:p>
    <w:p>
      <w:r>
        <w:rPr>
          <w:b w:val="0"/>
        </w:rPr>
        <w:t>Raw location should be captured only inside controlled experimental instrumentation where explicitly required.</w:t>
      </w:r>
    </w:p>
    <w:p>
      <w:pPr>
        <w:pStyle w:val="Heading1"/>
      </w:pPr>
      <w:r>
        <w:t>22. Decision D19 — Policy Determinism</w:t>
      </w:r>
    </w:p>
    <w:p>
      <w:r>
        <w:rPr>
          <w:b w:val="0"/>
        </w:rPr>
        <w:t>Decision: equivalent policy inputs should produce deterministic decisions.</w:t>
      </w:r>
    </w:p>
    <w:p>
      <w:r>
        <w:rPr>
          <w:b w:val="0"/>
        </w:rPr>
        <w:t>Rationale: deterministic policy evaluation makes security analysis, unit testing, reproduction, and formal reasoning substantially easier.</w:t>
      </w:r>
    </w:p>
    <w:p>
      <w:r>
        <w:rPr>
          <w:b w:val="0"/>
        </w:rPr>
        <w:t>Randomized transformations may exist, but randomness belongs to the transformation mechanism and must have explicitly defined semantics.</w:t>
      </w:r>
    </w:p>
    <w:p>
      <w:pPr>
        <w:pStyle w:val="Heading1"/>
      </w:pPr>
      <w:r>
        <w:t>23. Decision D20 — Separation of Research and Production Concerns</w:t>
      </w:r>
    </w:p>
    <w:p>
      <w:r>
        <w:rPr>
          <w:b w:val="0"/>
        </w:rPr>
        <w:t>Decision: research instrumentation must be separable from the security-critical enforcement path.</w:t>
      </w:r>
    </w:p>
    <w:p>
      <w:r>
        <w:rPr>
          <w:b w:val="0"/>
        </w:rPr>
        <w:t>Rationale: extensive logging and experimental hooks can distort performance and may accidentally change the system's security properties. The project therefore distinguishes production-like enforcement from measurement instrumentation.</w:t>
      </w:r>
    </w:p>
    <w:p>
      <w:pPr>
        <w:pStyle w:val="Heading1"/>
      </w:pPr>
      <w:r>
        <w:t>24. Architecture-to-Requirement Traceability</w:t>
      </w:r>
    </w:p>
    <w:tbl>
      <w:tblPr>
        <w:tblStyle w:val="TableGrid"/>
        <w:tblW w:type="auto" w:w="0"/>
        <w:tblLook w:firstColumn="1" w:firstRow="1" w:lastColumn="0" w:lastRow="0" w:noHBand="0" w:noVBand="1" w:val="04A0"/>
      </w:tblPr>
      <w:tblGrid>
        <w:gridCol w:w="4896"/>
        <w:gridCol w:w="4896"/>
      </w:tblGrid>
      <w:tr>
        <w:tc>
          <w:tcPr>
            <w:tcW w:type="dxa" w:w="4896"/>
          </w:tcPr>
          <w:p>
            <w:r>
              <w:t>Design Decision</w:t>
            </w:r>
          </w:p>
        </w:tc>
        <w:tc>
          <w:tcPr>
            <w:tcW w:type="dxa" w:w="4896"/>
          </w:tcPr>
          <w:p>
            <w:r>
              <w:t>Primary Requirements Addressed</w:t>
            </w:r>
          </w:p>
        </w:tc>
      </w:tr>
      <w:tr>
        <w:tc>
          <w:tcPr>
            <w:tcW w:type="dxa" w:w="4896"/>
          </w:tcPr>
          <w:p>
            <w:r>
              <w:t>Control APK + system service</w:t>
            </w:r>
          </w:p>
        </w:tc>
        <w:tc>
          <w:tcPr>
            <w:tcW w:type="dxa" w:w="4896"/>
          </w:tcPr>
          <w:p>
            <w:r>
              <w:t>FR-120–123, SEC-001–004</w:t>
            </w:r>
          </w:p>
        </w:tc>
      </w:tr>
      <w:tr>
        <w:tc>
          <w:tcPr>
            <w:tcW w:type="dxa" w:w="4896"/>
          </w:tcPr>
          <w:p>
            <w:r>
              <w:t>Dedicated Policy Engine</w:t>
            </w:r>
          </w:p>
        </w:tc>
        <w:tc>
          <w:tcPr>
            <w:tcW w:type="dxa" w:w="4896"/>
          </w:tcPr>
          <w:p>
            <w:r>
              <w:t>FR-110–113, RES-001–010</w:t>
            </w:r>
          </w:p>
        </w:tc>
      </w:tr>
      <w:tr>
        <w:tc>
          <w:tcPr>
            <w:tcW w:type="dxa" w:w="4896"/>
          </w:tcPr>
          <w:p>
            <w:r>
              <w:t>Local hot path</w:t>
            </w:r>
          </w:p>
        </w:tc>
        <w:tc>
          <w:tcPr>
            <w:tcW w:type="dxa" w:w="4896"/>
          </w:tcPr>
          <w:p>
            <w:r>
              <w:t>PERF-001–003</w:t>
            </w:r>
          </w:p>
        </w:tc>
      </w:tr>
      <w:tr>
        <w:tc>
          <w:tcPr>
            <w:tcW w:type="dxa" w:w="4896"/>
          </w:tcPr>
          <w:p>
            <w:r>
              <w:t>Effective policy</w:t>
            </w:r>
          </w:p>
        </w:tc>
        <w:tc>
          <w:tcPr>
            <w:tcW w:type="dxa" w:w="4896"/>
          </w:tcPr>
          <w:p>
            <w:r>
              <w:t>FR-020–023, SEC-005</w:t>
            </w:r>
          </w:p>
        </w:tc>
      </w:tr>
      <w:tr>
        <w:tc>
          <w:tcPr>
            <w:tcW w:type="dxa" w:w="4896"/>
          </w:tcPr>
          <w:p>
            <w:r>
              <w:t>Delivery-time enforcement</w:t>
            </w:r>
          </w:p>
        </w:tc>
        <w:tc>
          <w:tcPr>
            <w:tcW w:type="dxa" w:w="4896"/>
          </w:tcPr>
          <w:p>
            <w:r>
              <w:t>FR-040–045, FR-070–072, SEC-006–008</w:t>
            </w:r>
          </w:p>
        </w:tc>
      </w:tr>
      <w:tr>
        <w:tc>
          <w:tcPr>
            <w:tcW w:type="dxa" w:w="4896"/>
          </w:tcPr>
          <w:p>
            <w:r>
              <w:t>Transformation engine</w:t>
            </w:r>
          </w:p>
        </w:tc>
        <w:tc>
          <w:tcPr>
            <w:tcW w:type="dxa" w:w="4896"/>
          </w:tcPr>
          <w:p>
            <w:r>
              <w:t>FR-030–037, FR-100–104</w:t>
            </w:r>
          </w:p>
        </w:tc>
      </w:tr>
      <w:tr>
        <w:tc>
          <w:tcPr>
            <w:tcW w:type="dxa" w:w="4896"/>
          </w:tcPr>
          <w:p>
            <w:r>
              <w:t>Metadata sanitizer</w:t>
            </w:r>
          </w:p>
        </w:tc>
        <w:tc>
          <w:tcPr>
            <w:tcW w:type="dxa" w:w="4896"/>
          </w:tcPr>
          <w:p>
            <w:r>
              <w:t>FR-090–093, SEC-009</w:t>
            </w:r>
          </w:p>
        </w:tc>
      </w:tr>
      <w:tr>
        <w:tc>
          <w:tcPr>
            <w:tcW w:type="dxa" w:w="4896"/>
          </w:tcPr>
          <w:p>
            <w:r>
              <w:t>Temporal controller</w:t>
            </w:r>
          </w:p>
        </w:tc>
        <w:tc>
          <w:tcPr>
            <w:tcW w:type="dxa" w:w="4896"/>
          </w:tcPr>
          <w:p>
            <w:r>
              <w:t>FR-040–045, RES-004</w:t>
            </w:r>
          </w:p>
        </w:tc>
      </w:tr>
      <w:tr>
        <w:tc>
          <w:tcPr>
            <w:tcW w:type="dxa" w:w="4896"/>
          </w:tcPr>
          <w:p>
            <w:r>
              <w:t>Protected policy storage</w:t>
            </w:r>
          </w:p>
        </w:tc>
        <w:tc>
          <w:tcPr>
            <w:tcW w:type="dxa" w:w="4896"/>
          </w:tcPr>
          <w:p>
            <w:r>
              <w:t>FR-015–018, SEC-010–013</w:t>
            </w:r>
          </w:p>
        </w:tc>
      </w:tr>
      <w:tr>
        <w:tc>
          <w:tcPr>
            <w:tcW w:type="dxa" w:w="4896"/>
          </w:tcPr>
          <w:p>
            <w:r>
              <w:t>Explicit GMS boundary</w:t>
            </w:r>
          </w:p>
        </w:tc>
        <w:tc>
          <w:tcPr>
            <w:tcW w:type="dxa" w:w="4896"/>
          </w:tcPr>
          <w:p>
            <w:r>
              <w:t>COMP-003–006</w:t>
            </w:r>
          </w:p>
        </w:tc>
      </w:tr>
      <w:tr>
        <w:tc>
          <w:tcPr>
            <w:tcW w:type="dxa" w:w="4896"/>
          </w:tcPr>
          <w:p>
            <w:r>
              <w:t>Prototype before AOSP</w:t>
            </w:r>
          </w:p>
        </w:tc>
        <w:tc>
          <w:tcPr>
            <w:tcW w:type="dxa" w:w="4896"/>
          </w:tcPr>
          <w:p>
            <w:r>
              <w:t>COMP-001–006, RES-010</w:t>
            </w:r>
          </w:p>
        </w:tc>
      </w:tr>
      <w:tr>
        <w:tc>
          <w:tcPr>
            <w:tcW w:type="dxa" w:w="4896"/>
          </w:tcPr>
          <w:p>
            <w:r>
              <w:t>Fail-safe behavior</w:t>
            </w:r>
          </w:p>
        </w:tc>
        <w:tc>
          <w:tcPr>
            <w:tcW w:type="dxa" w:w="4896"/>
          </w:tcPr>
          <w:p>
            <w:r>
              <w:t>REL-001–007, SEC-011</w:t>
            </w:r>
          </w:p>
        </w:tc>
      </w:tr>
      <w:tr>
        <w:tc>
          <w:tcPr>
            <w:tcW w:type="dxa" w:w="4896"/>
          </w:tcPr>
          <w:p>
            <w:r>
              <w:t>Restricted audit</w:t>
            </w:r>
          </w:p>
        </w:tc>
        <w:tc>
          <w:tcPr>
            <w:tcW w:type="dxa" w:w="4896"/>
          </w:tcPr>
          <w:p>
            <w:r>
              <w:t>AUD-001–005, SEC-012</w:t>
            </w:r>
          </w:p>
        </w:tc>
      </w:tr>
    </w:tbl>
    <w:p>
      <w:pPr>
        <w:pStyle w:val="Heading1"/>
      </w:pPr>
      <w:r>
        <w:t>25. Alternative Architectures Considered</w:t>
      </w:r>
    </w:p>
    <w:tbl>
      <w:tblPr>
        <w:tblStyle w:val="TableGrid"/>
        <w:tblW w:type="auto" w:w="0"/>
        <w:tblLook w:firstColumn="1" w:firstRow="1" w:lastColumn="0" w:lastRow="0" w:noHBand="0" w:noVBand="1" w:val="04A0"/>
      </w:tblPr>
      <w:tblGrid>
        <w:gridCol w:w="4896"/>
        <w:gridCol w:w="4896"/>
      </w:tblGrid>
      <w:tr>
        <w:tc>
          <w:tcPr>
            <w:tcW w:type="dxa" w:w="4896"/>
          </w:tcPr>
          <w:p>
            <w:r>
              <w:t>Architecture</w:t>
            </w:r>
          </w:p>
        </w:tc>
        <w:tc>
          <w:tcPr>
            <w:tcW w:type="dxa" w:w="4896"/>
          </w:tcPr>
          <w:p>
            <w:r>
              <w:t>Why Not Selected as Final</w:t>
            </w:r>
          </w:p>
        </w:tc>
      </w:tr>
      <w:tr>
        <w:tc>
          <w:tcPr>
            <w:tcW w:type="dxa" w:w="4896"/>
          </w:tcPr>
          <w:p>
            <w:r>
              <w:t>Control APK only</w:t>
            </w:r>
          </w:p>
        </w:tc>
        <w:tc>
          <w:tcPr>
            <w:tcW w:type="dxa" w:w="4896"/>
          </w:tcPr>
          <w:p>
            <w:r>
              <w:t>Cannot transparently mediate arbitrary applications.</w:t>
            </w:r>
          </w:p>
        </w:tc>
      </w:tr>
      <w:tr>
        <w:tc>
          <w:tcPr>
            <w:tcW w:type="dxa" w:w="4896"/>
          </w:tcPr>
          <w:p>
            <w:r>
              <w:t>VPN-based mediation</w:t>
            </w:r>
          </w:p>
        </w:tc>
        <w:tc>
          <w:tcPr>
            <w:tcW w:type="dxa" w:w="4896"/>
          </w:tcPr>
          <w:p>
            <w:r>
              <w:t>Operates primarily at the network layer, below/aside from Android Location APIs.</w:t>
            </w:r>
          </w:p>
        </w:tc>
      </w:tr>
      <w:tr>
        <w:tc>
          <w:tcPr>
            <w:tcW w:type="dxa" w:w="4896"/>
          </w:tcPr>
          <w:p>
            <w:r>
              <w:t>Accessibility-based mediation</w:t>
            </w:r>
          </w:p>
        </w:tc>
        <w:tc>
          <w:tcPr>
            <w:tcW w:type="dxa" w:w="4896"/>
          </w:tcPr>
          <w:p>
            <w:r>
              <w:t>Wrong abstraction and not a trusted location enforcement layer.</w:t>
            </w:r>
          </w:p>
        </w:tc>
      </w:tr>
      <w:tr>
        <w:tc>
          <w:tcPr>
            <w:tcW w:type="dxa" w:w="4896"/>
          </w:tcPr>
          <w:p>
            <w:r>
              <w:t>Device Owner only</w:t>
            </w:r>
          </w:p>
        </w:tc>
        <w:tc>
          <w:tcPr>
            <w:tcW w:type="dxa" w:w="4896"/>
          </w:tcPr>
          <w:p>
            <w:r>
              <w:t>Useful for management but insufficient as the complete coordinate transformation mechanism.</w:t>
            </w:r>
          </w:p>
        </w:tc>
      </w:tr>
      <w:tr>
        <w:tc>
          <w:tcPr>
            <w:tcW w:type="dxa" w:w="4896"/>
          </w:tcPr>
          <w:p>
            <w:r>
              <w:t>Pure LSPosed implementation</w:t>
            </w:r>
          </w:p>
        </w:tc>
        <w:tc>
          <w:tcPr>
            <w:tcW w:type="dxa" w:w="4896"/>
          </w:tcPr>
          <w:p>
            <w:r>
              <w:t>Strong prototype value but not the preferred final trusted architecture.</w:t>
            </w:r>
          </w:p>
        </w:tc>
      </w:tr>
      <w:tr>
        <w:tc>
          <w:tcPr>
            <w:tcW w:type="dxa" w:w="4896"/>
          </w:tcPr>
          <w:p>
            <w:r>
              <w:t>Monolithic LocationManagerService</w:t>
            </w:r>
          </w:p>
        </w:tc>
        <w:tc>
          <w:tcPr>
            <w:tcW w:type="dxa" w:w="4896"/>
          </w:tcPr>
          <w:p>
            <w:r>
              <w:t>Creates excessive coupling between privacy management and existing location responsibilities.</w:t>
            </w:r>
          </w:p>
        </w:tc>
      </w:tr>
      <w:tr>
        <w:tc>
          <w:tcPr>
            <w:tcW w:type="dxa" w:w="4896"/>
          </w:tcPr>
          <w:p>
            <w:r>
              <w:t>Separate process on every update</w:t>
            </w:r>
          </w:p>
        </w:tc>
        <w:tc>
          <w:tcPr>
            <w:tcW w:type="dxa" w:w="4896"/>
          </w:tcPr>
          <w:p>
            <w:r>
              <w:t>Adds IPC overhead and unnecessary hot-path complexity.</w:t>
            </w:r>
          </w:p>
        </w:tc>
      </w:tr>
    </w:tbl>
    <w:p>
      <w:pPr>
        <w:pStyle w:val="Heading1"/>
      </w:pPr>
      <w:r>
        <w:t>26. Design Risks</w:t>
      </w:r>
    </w:p>
    <w:tbl>
      <w:tblPr>
        <w:tblStyle w:val="TableGrid"/>
        <w:tblW w:type="auto" w:w="0"/>
        <w:tblLook w:firstColumn="1" w:firstRow="1" w:lastColumn="0" w:lastRow="0" w:noHBand="0" w:noVBand="1" w:val="04A0"/>
      </w:tblPr>
      <w:tblGrid>
        <w:gridCol w:w="4896"/>
        <w:gridCol w:w="4896"/>
      </w:tblGrid>
      <w:tr>
        <w:tc>
          <w:tcPr>
            <w:tcW w:type="dxa" w:w="4896"/>
          </w:tcPr>
          <w:p>
            <w:r>
              <w:t>Risk</w:t>
            </w:r>
          </w:p>
        </w:tc>
        <w:tc>
          <w:tcPr>
            <w:tcW w:type="dxa" w:w="4896"/>
          </w:tcPr>
          <w:p>
            <w:r>
              <w:t>Mitigation</w:t>
            </w:r>
          </w:p>
        </w:tc>
      </w:tr>
      <w:tr>
        <w:tc>
          <w:tcPr>
            <w:tcW w:type="dxa" w:w="4896"/>
          </w:tcPr>
          <w:p>
            <w:r>
              <w:t>Android internals change between versions</w:t>
            </w:r>
          </w:p>
        </w:tc>
        <w:tc>
          <w:tcPr>
            <w:tcW w:type="dxa" w:w="4896"/>
          </w:tcPr>
          <w:p>
            <w:r>
              <w:t>Create exact version-specific enforcement matrix</w:t>
            </w:r>
          </w:p>
        </w:tc>
      </w:tr>
      <w:tr>
        <w:tc>
          <w:tcPr>
            <w:tcW w:type="dxa" w:w="4896"/>
          </w:tcPr>
          <w:p>
            <w:r>
              <w:t>GMS bypass</w:t>
            </w:r>
          </w:p>
        </w:tc>
        <w:tc>
          <w:tcPr>
            <w:tcW w:type="dxa" w:w="4896"/>
          </w:tcPr>
          <w:p>
            <w:r>
              <w:t>Treat GMS as explicit compatibility boundary</w:t>
            </w:r>
          </w:p>
        </w:tc>
      </w:tr>
      <w:tr>
        <w:tc>
          <w:tcPr>
            <w:tcW w:type="dxa" w:w="4896"/>
          </w:tcPr>
          <w:p>
            <w:r>
              <w:t>Policy complexity</w:t>
            </w:r>
          </w:p>
        </w:tc>
        <w:tc>
          <w:tcPr>
            <w:tcW w:type="dxa" w:w="4896"/>
          </w:tcPr>
          <w:p>
            <w:r>
              <w:t>Keep evaluator deterministic and schema-driven</w:t>
            </w:r>
          </w:p>
        </w:tc>
      </w:tr>
      <w:tr>
        <w:tc>
          <w:tcPr>
            <w:tcW w:type="dxa" w:w="4896"/>
          </w:tcPr>
          <w:p>
            <w:r>
              <w:t>Performance overhead</w:t>
            </w:r>
          </w:p>
        </w:tc>
        <w:tc>
          <w:tcPr>
            <w:tcW w:type="dxa" w:w="4896"/>
          </w:tcPr>
          <w:p>
            <w:r>
              <w:t>Keep hot path local and benchmark independently</w:t>
            </w:r>
          </w:p>
        </w:tc>
      </w:tr>
      <w:tr>
        <w:tc>
          <w:tcPr>
            <w:tcW w:type="dxa" w:w="4896"/>
          </w:tcPr>
          <w:p>
            <w:r>
              <w:t>Metadata leakage</w:t>
            </w:r>
          </w:p>
        </w:tc>
        <w:tc>
          <w:tcPr>
            <w:tcW w:type="dxa" w:w="4896"/>
          </w:tcPr>
          <w:p>
            <w:r>
              <w:t>Dedicated sanitizer and adversarial tests</w:t>
            </w:r>
          </w:p>
        </w:tc>
      </w:tr>
      <w:tr>
        <w:tc>
          <w:tcPr>
            <w:tcW w:type="dxa" w:w="4896"/>
          </w:tcPr>
          <w:p>
            <w:r>
              <w:t>Policy tampering</w:t>
            </w:r>
          </w:p>
        </w:tc>
        <w:tc>
          <w:tcPr>
            <w:tcW w:type="dxa" w:w="4896"/>
          </w:tcPr>
          <w:p>
            <w:r>
              <w:t>Protected Binder interface and trusted identity</w:t>
            </w:r>
          </w:p>
        </w:tc>
      </w:tr>
      <w:tr>
        <w:tc>
          <w:tcPr>
            <w:tcW w:type="dxa" w:w="4896"/>
          </w:tcPr>
          <w:p>
            <w:r>
              <w:t>Prototype diverges from AOSP</w:t>
            </w:r>
          </w:p>
        </w:tc>
        <w:tc>
          <w:tcPr>
            <w:tcW w:type="dxa" w:w="4896"/>
          </w:tcPr>
          <w:p>
            <w:r>
              <w:t>Keep shared policy/transform contracts across implementations</w:t>
            </w:r>
          </w:p>
        </w:tc>
      </w:tr>
      <w:tr>
        <w:tc>
          <w:tcPr>
            <w:tcW w:type="dxa" w:w="4896"/>
          </w:tcPr>
          <w:p>
            <w:r>
              <w:t>Overclaiming privacy</w:t>
            </w:r>
          </w:p>
        </w:tc>
        <w:tc>
          <w:tcPr>
            <w:tcW w:type="dxa" w:w="4896"/>
          </w:tcPr>
          <w:p>
            <w:r>
              <w:t>Explicit threat boundary and residual-leakage evaluation</w:t>
            </w:r>
          </w:p>
        </w:tc>
      </w:tr>
    </w:tbl>
    <w:p>
      <w:pPr>
        <w:pStyle w:val="Heading1"/>
      </w:pPr>
      <w:r>
        <w:t>27. Design Freeze Conditions</w:t>
      </w:r>
    </w:p>
    <w:p>
      <w:r>
        <w:rPr>
          <w:b w:val="0"/>
        </w:rPr>
        <w:t>Before the implementation-facing architecture is considered frozen, the following must be established:</w:t>
      </w:r>
    </w:p>
    <w:p>
      <w:pPr>
        <w:pStyle w:val="ListNumber"/>
      </w:pPr>
      <w:r>
        <w:t>Exact Android version targets</w:t>
      </w:r>
    </w:p>
    <w:p>
      <w:pPr>
        <w:pStyle w:val="ListNumber"/>
      </w:pPr>
      <w:r>
        <w:t>Location API and framework call paths</w:t>
      </w:r>
    </w:p>
    <w:p>
      <w:pPr>
        <w:pStyle w:val="ListNumber"/>
      </w:pPr>
      <w:r>
        <w:t>Enforcement points</w:t>
      </w:r>
    </w:p>
    <w:p>
      <w:pPr>
        <w:pStyle w:val="ListNumber"/>
      </w:pPr>
      <w:r>
        <w:t>Binder/AIDL boundary</w:t>
      </w:r>
    </w:p>
    <w:p>
      <w:pPr>
        <w:pStyle w:val="ListNumber"/>
      </w:pPr>
      <w:r>
        <w:t>Policy data schema</w:t>
      </w:r>
    </w:p>
    <w:p>
      <w:pPr>
        <w:pStyle w:val="ListNumber"/>
      </w:pPr>
      <w:r>
        <w:t>Transformation contracts</w:t>
      </w:r>
    </w:p>
    <w:p>
      <w:pPr>
        <w:pStyle w:val="ListNumber"/>
      </w:pPr>
      <w:r>
        <w:t>Temporal-state semantics</w:t>
      </w:r>
    </w:p>
    <w:p>
      <w:pPr>
        <w:pStyle w:val="ListNumber"/>
      </w:pPr>
      <w:r>
        <w:t>Cached/passive/geofence behavior</w:t>
      </w:r>
    </w:p>
    <w:p>
      <w:pPr>
        <w:pStyle w:val="ListNumber"/>
      </w:pPr>
      <w:r>
        <w:t>GMS coverage assumptions</w:t>
      </w:r>
    </w:p>
    <w:p>
      <w:pPr>
        <w:pStyle w:val="ListNumber"/>
      </w:pPr>
      <w:r>
        <w:t>Failure and fallback behavior</w:t>
      </w:r>
    </w:p>
    <w:p>
      <w:r>
        <w:rPr>
          <w:b w:val="0"/>
        </w:rPr>
        <w:t>These conditions lead directly to the next set of implementation-facing documents.</w:t>
      </w:r>
    </w:p>
    <w:p>
      <w:pPr>
        <w:pStyle w:val="Heading1"/>
      </w:pPr>
      <w:r>
        <w:t>28. Next Document</w:t>
      </w:r>
    </w:p>
    <w:p>
      <w:r>
        <w:rPr>
          <w:b w:val="0"/>
        </w:rPr>
        <w:t>The next artifact is the Architecture Specification. It will turn this rationale into a formal component-level architecture with exact responsibilities, interfaces, data flow, trust boundaries, and system interactions.</w:t>
      </w:r>
    </w:p>
    <w:p>
      <w:r>
        <w:rPr>
          <w:b w:val="0"/>
        </w:rPr>
        <w:t>After that, the project will move into the API &amp; Enforcement Matrix and exact Android 14/15/16 source-path analysis before implementation.</w:t>
      </w:r>
    </w:p>
    <w:p>
      <w:pPr>
        <w:pStyle w:val="Heading1"/>
      </w:pPr>
      <w:r>
        <w:t>29. Revision History</w:t>
      </w:r>
    </w:p>
    <w:tbl>
      <w:tblPr>
        <w:tblStyle w:val="TableGrid"/>
        <w:tblW w:type="auto" w:w="0"/>
        <w:tblLook w:firstColumn="1" w:firstRow="1" w:lastColumn="0" w:lastRow="0" w:noHBand="0" w:noVBand="1" w:val="04A0"/>
      </w:tblPr>
      <w:tblGrid>
        <w:gridCol w:w="3264"/>
        <w:gridCol w:w="3264"/>
        <w:gridCol w:w="3264"/>
      </w:tblGrid>
      <w:tr>
        <w:tc>
          <w:tcPr>
            <w:tcW w:type="dxa" w:w="3264"/>
          </w:tcPr>
          <w:p>
            <w:r>
              <w:t>Version</w:t>
            </w:r>
          </w:p>
        </w:tc>
        <w:tc>
          <w:tcPr>
            <w:tcW w:type="dxa" w:w="3264"/>
          </w:tcPr>
          <w:p>
            <w:r>
              <w:t>Date</w:t>
            </w:r>
          </w:p>
        </w:tc>
        <w:tc>
          <w:tcPr>
            <w:tcW w:type="dxa" w:w="3264"/>
          </w:tcPr>
          <w:p>
            <w:r>
              <w:t>Description</w:t>
            </w:r>
          </w:p>
        </w:tc>
      </w:tr>
      <w:tr>
        <w:tc>
          <w:tcPr>
            <w:tcW w:type="dxa" w:w="3264"/>
          </w:tcPr>
          <w:p>
            <w:r>
              <w:t>1.0</w:t>
            </w:r>
          </w:p>
        </w:tc>
        <w:tc>
          <w:tcPr>
            <w:tcW w:type="dxa" w:w="3264"/>
          </w:tcPr>
          <w:p>
            <w:r>
              <w:t>2026-09-26</w:t>
            </w:r>
          </w:p>
        </w:tc>
        <w:tc>
          <w:tcPr>
            <w:tcW w:type="dxa" w:w="3264"/>
          </w:tcPr>
          <w:p>
            <w:r>
              <w:t>Initial Technical Design &amp; Rationale based on Documents 01–05.</w:t>
            </w:r>
          </w:p>
        </w:tc>
      </w:tr>
    </w:tbl>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ALPF — Technical Design &amp; Rationale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