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ADAPTIVE PER-APP LOCATION PRIVACY FRAMEWORK FOR ANDROID</w:t>
      </w:r>
    </w:p>
    <w:p>
      <w:pPr>
        <w:jc w:val="center"/>
      </w:pPr>
      <w:r>
        <w:rPr>
          <w:b/>
          <w:sz w:val="32"/>
        </w:rPr>
        <w:t>Document 07 — Formal Architecture Specification</w:t>
      </w:r>
    </w:p>
    <w:p>
      <w:pPr>
        <w:jc w:val="center"/>
      </w:pPr>
      <w:r>
        <w:t>Working Name: ALPF</w:t>
      </w:r>
    </w:p>
    <w:p>
      <w:pPr>
        <w:jc w:val="center"/>
      </w:pPr>
      <w:r>
        <w:t>Version: 1.0</w:t>
      </w:r>
    </w:p>
    <w:p>
      <w:pPr>
        <w:jc w:val="center"/>
      </w:pPr>
      <w:r>
        <w:t>Status: Architecture Baseline</w:t>
      </w:r>
    </w:p>
    <w:p>
      <w:pPr>
        <w:jc w:val="center"/>
      </w:pPr>
      <w:r>
        <w:rPr>
          <w:i/>
        </w:rPr>
        <w:t>Component-level architecture, interfaces, data flows, trust boundaries, and lifecycle.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Field</w:t>
            </w:r>
          </w:p>
        </w:tc>
        <w:tc>
          <w:tcPr>
            <w:tcW w:type="dxa" w:w="4896"/>
          </w:tcPr>
          <w:p>
            <w:r>
              <w:t>Value</w:t>
            </w:r>
          </w:p>
        </w:tc>
      </w:tr>
      <w:tr>
        <w:tc>
          <w:tcPr>
            <w:tcW w:type="dxa" w:w="4896"/>
          </w:tcPr>
          <w:p>
            <w:r>
              <w:t>Document</w:t>
            </w:r>
          </w:p>
        </w:tc>
        <w:tc>
          <w:tcPr>
            <w:tcW w:type="dxa" w:w="4896"/>
          </w:tcPr>
          <w:p>
            <w:r>
              <w:t>Formal Architecture Specification</w:t>
            </w:r>
          </w:p>
        </w:tc>
      </w:tr>
      <w:tr>
        <w:tc>
          <w:tcPr>
            <w:tcW w:type="dxa" w:w="4896"/>
          </w:tcPr>
          <w:p>
            <w:r>
              <w:t>Version</w:t>
            </w:r>
          </w:p>
        </w:tc>
        <w:tc>
          <w:tcPr>
            <w:tcW w:type="dxa" w:w="4896"/>
          </w:tcPr>
          <w:p>
            <w:r>
              <w:t>1.0</w:t>
            </w:r>
          </w:p>
        </w:tc>
      </w:tr>
      <w:tr>
        <w:tc>
          <w:tcPr>
            <w:tcW w:type="dxa" w:w="4896"/>
          </w:tcPr>
          <w:p>
            <w:r>
              <w:t>Project</w:t>
            </w:r>
          </w:p>
        </w:tc>
        <w:tc>
          <w:tcPr>
            <w:tcW w:type="dxa" w:w="4896"/>
          </w:tcPr>
          <w:p>
            <w:r>
              <w:t>Adaptive Per-App Location Privacy Framework for Android</w:t>
            </w:r>
          </w:p>
        </w:tc>
      </w:tr>
      <w:tr>
        <w:tc>
          <w:tcPr>
            <w:tcW w:type="dxa" w:w="4896"/>
          </w:tcPr>
          <w:p>
            <w:r>
              <w:t>Working Acronym</w:t>
            </w:r>
          </w:p>
        </w:tc>
        <w:tc>
          <w:tcPr>
            <w:tcW w:type="dxa" w:w="4896"/>
          </w:tcPr>
          <w:p>
            <w:r>
              <w:t>ALPF</w:t>
            </w:r>
          </w:p>
        </w:tc>
      </w:tr>
      <w:tr>
        <w:tc>
          <w:tcPr>
            <w:tcW w:type="dxa" w:w="4896"/>
          </w:tcPr>
          <w:p>
            <w:r>
              <w:t>Depends On</w:t>
            </w:r>
          </w:p>
        </w:tc>
        <w:tc>
          <w:tcPr>
            <w:tcW w:type="dxa" w:w="4896"/>
          </w:tcPr>
          <w:p>
            <w:r>
              <w:t>Documents 01–06</w:t>
            </w:r>
          </w:p>
        </w:tc>
      </w:tr>
      <w:tr>
        <w:tc>
          <w:tcPr>
            <w:tcW w:type="dxa" w:w="4896"/>
          </w:tcPr>
          <w:p>
            <w:r>
              <w:t>Purpose</w:t>
            </w:r>
          </w:p>
        </w:tc>
        <w:tc>
          <w:tcPr>
            <w:tcW w:type="dxa" w:w="4896"/>
          </w:tcPr>
          <w:p>
            <w:r>
              <w:t>Freeze the conceptual component architecture before Android-specific enforcement mapping.</w:t>
            </w:r>
          </w:p>
        </w:tc>
      </w:tr>
      <w:tr>
        <w:tc>
          <w:tcPr>
            <w:tcW w:type="dxa" w:w="4896"/>
          </w:tcPr>
          <w:p>
            <w:r>
              <w:t>Status</w:t>
            </w:r>
          </w:p>
        </w:tc>
        <w:tc>
          <w:tcPr>
            <w:tcW w:type="dxa" w:w="4896"/>
          </w:tcPr>
          <w:p>
            <w:r>
              <w:t>Architecture baseline</w:t>
            </w:r>
          </w:p>
        </w:tc>
      </w:tr>
    </w:tbl>
    <w:p>
      <w:pPr>
        <w:pStyle w:val="Heading1"/>
      </w:pPr>
      <w:r>
        <w:t>1. Architecture Scope</w:t>
      </w:r>
    </w:p>
    <w:p>
      <w:r>
        <w:rPr>
          <w:b w:val="0"/>
        </w:rPr>
        <w:t>This document defines the logical architecture of ALPF. It establishes component responsibilities, interfaces, trust relationships, data flows, and lifecycle behavior.</w:t>
      </w:r>
    </w:p>
    <w:p>
      <w:r>
        <w:rPr>
          <w:b w:val="0"/>
        </w:rPr>
        <w:t>It intentionally does not freeze exact Android source files or every version-specific framework call path. Those details belong to the API &amp; Enforcement Matrix and Android 14/15/16 Enforcement Path documents.</w:t>
      </w:r>
    </w:p>
    <w:p>
      <w:pPr>
        <w:pStyle w:val="Heading1"/>
      </w:pPr>
      <w:r>
        <w:t>2. Architectural Goals</w:t>
      </w:r>
    </w:p>
    <w:p>
      <w:pPr>
        <w:pStyle w:val="ListBullet"/>
      </w:pPr>
      <w:r>
        <w:t>Provide a trusted application-specific location policy enforcement layer.</w:t>
      </w:r>
    </w:p>
    <w:p>
      <w:pPr>
        <w:pStyle w:val="ListBullet"/>
      </w:pPr>
      <w:r>
        <w:t>Separate user-facing policy management from privileged enforcement.</w:t>
      </w:r>
    </w:p>
    <w:p>
      <w:pPr>
        <w:pStyle w:val="ListBullet"/>
      </w:pPr>
      <w:r>
        <w:t>Keep high-frequency enforcement local to the system process.</w:t>
      </w:r>
    </w:p>
    <w:p>
      <w:pPr>
        <w:pStyle w:val="ListBullet"/>
      </w:pPr>
      <w:r>
        <w:t>Make policy evaluation independently testable.</w:t>
      </w:r>
    </w:p>
    <w:p>
      <w:pPr>
        <w:pStyle w:val="ListBullet"/>
      </w:pPr>
      <w:r>
        <w:t>Separate policy decisions from location transformation.</w:t>
      </w:r>
    </w:p>
    <w:p>
      <w:pPr>
        <w:pStyle w:val="ListBullet"/>
      </w:pPr>
      <w:r>
        <w:t>Ensure transformed output has consistent metadata.</w:t>
      </w:r>
    </w:p>
    <w:p>
      <w:pPr>
        <w:pStyle w:val="ListBullet"/>
      </w:pPr>
      <w:r>
        <w:t>Support request-time and delivery-time enforcement.</w:t>
      </w:r>
    </w:p>
    <w:p>
      <w:pPr>
        <w:pStyle w:val="ListBullet"/>
      </w:pPr>
      <w:r>
        <w:t>Explicitly represent cached, passive, geofence, and source-specific paths.</w:t>
      </w:r>
    </w:p>
    <w:p>
      <w:pPr>
        <w:pStyle w:val="ListBullet"/>
      </w:pPr>
      <w:r>
        <w:t>Provide a clear prototype-to-AOSP implementation boundary.</w:t>
      </w:r>
    </w:p>
    <w:p>
      <w:pPr>
        <w:pStyle w:val="ListBullet"/>
      </w:pPr>
      <w:r>
        <w:t>Make security and research evaluation observable without exposing unnecessary raw location.</w:t>
      </w:r>
    </w:p>
    <w:p>
      <w:pPr>
        <w:pStyle w:val="Heading1"/>
      </w:pPr>
      <w:r>
        <w:t>3. Canonical Logical Architecture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                  USER</w:t>
        <w:br/>
        <w:t xml:space="preserve">                                    │</w:t>
        <w:br/>
        <w:t xml:space="preserve">                                    ▼</w:t>
        <w:br/>
        <w:t xml:space="preserve">                         ┌────────────────────┐</w:t>
        <w:br/>
        <w:t xml:space="preserve">                         │     CONTROL APK    │</w:t>
        <w:br/>
        <w:t xml:space="preserve">                         │                    │</w:t>
        <w:br/>
        <w:t xml:space="preserve">                         │ Policy UI          │</w:t>
        <w:br/>
        <w:t xml:space="preserve">                         │ Application list   │</w:t>
        <w:br/>
        <w:t xml:space="preserve">                         │ Diagnostics        │</w:t>
        <w:br/>
        <w:t xml:space="preserve">                         └─────────┬──────────┘</w:t>
        <w:br/>
        <w:t xml:space="preserve">                                   │</w:t>
        <w:br/>
        <w:t xml:space="preserve">                              Binder / IPC</w:t>
        <w:br/>
        <w:t xml:space="preserve">                                   │</w:t>
        <w:br/>
        <w:t xml:space="preserve">                                   ▼</w:t>
        <w:br/>
        <w:t xml:space="preserve">                         ┌────────────────────┐</w:t>
        <w:br/>
        <w:t xml:space="preserve">                         │ LocationPrivacy    │</w:t>
        <w:br/>
        <w:t xml:space="preserve">                         │ ManagerService     │</w:t>
        <w:br/>
        <w:t xml:space="preserve">                         │                    │</w:t>
        <w:br/>
        <w:t xml:space="preserve">                         │ system_server      │</w:t>
        <w:br/>
        <w:t xml:space="preserve">                         └─────────┬──────────┘</w:t>
        <w:br/>
        <w:t xml:space="preserve">                                   │</w:t>
        <w:br/>
        <w:t xml:space="preserve">                             Local interface</w:t>
        <w:br/>
        <w:t xml:space="preserve">                                   │</w:t>
        <w:br/>
        <w:t xml:space="preserve">                                   ▼</w:t>
        <w:br/>
        <w:t xml:space="preserve">                         ┌────────────────────┐</w:t>
        <w:br/>
        <w:t xml:space="preserve">                         │    Policy Engine   │</w:t>
        <w:br/>
        <w:t xml:space="preserve">                         └─────────┬──────────┘</w:t>
        <w:br/>
        <w:t xml:space="preserve">                                   │</w:t>
        <w:br/>
        <w:t xml:space="preserve">                ┌──────────────────┼──────────────────┐</w:t>
        <w:br/>
        <w:t xml:space="preserve">                ▼                  ▼                  ▼</w:t>
        <w:br/>
        <w:t xml:space="preserve">        Identity / Context    Temporal Policy   Source Policy</w:t>
        <w:br/>
        <w:t xml:space="preserve">                │                  │                  │</w:t>
        <w:br/>
        <w:t xml:space="preserve">                └──────────────────┼──────────────────┘</w:t>
        <w:br/>
        <w:t xml:space="preserve">                                   ▼</w:t>
        <w:br/>
        <w:t xml:space="preserve">                         ┌────────────────────┐</w:t>
        <w:br/>
        <w:t xml:space="preserve">                         │ Transformation     │</w:t>
        <w:br/>
        <w:t xml:space="preserve">                         │ Engine             │</w:t>
        <w:br/>
        <w:t xml:space="preserve">                         └─────────┬──────────┘</w:t>
        <w:br/>
        <w:t xml:space="preserve">                                   ▼</w:t>
        <w:br/>
        <w:t xml:space="preserve">                         ┌────────────────────┐</w:t>
        <w:br/>
        <w:t xml:space="preserve">                         │ Metadata Sanitizer │</w:t>
        <w:br/>
        <w:t xml:space="preserve">                         └─────────┬──────────┘</w:t>
        <w:br/>
        <w:t xml:space="preserve">                                   │</w:t>
        <w:br/>
        <w:t xml:space="preserve">                                   ▼</w:t>
        <w:br/>
        <w:t xml:space="preserve">                             APPLICATION</w:t>
        <w:br/>
        <w:br/>
        <w:t xml:space="preserve">                 Android Location Framework</w:t>
        <w:br/>
        <w:t xml:space="preserve">                 / Providers / GMS Boundary</w:t>
        <w:br/>
        <w:t xml:space="preserve">                         surround the</w:t>
        <w:br/>
        <w:t xml:space="preserve">                     enforcement integration</w:t>
      </w:r>
    </w:p>
    <w:p>
      <w:pPr>
        <w:pStyle w:val="Heading1"/>
      </w:pPr>
      <w:r>
        <w:t>4. Component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ID</w:t>
            </w:r>
          </w:p>
        </w:tc>
        <w:tc>
          <w:tcPr>
            <w:tcW w:type="dxa" w:w="2448"/>
          </w:tcPr>
          <w:p>
            <w:r>
              <w:t>Component</w:t>
            </w:r>
          </w:p>
        </w:tc>
        <w:tc>
          <w:tcPr>
            <w:tcW w:type="dxa" w:w="2448"/>
          </w:tcPr>
          <w:p>
            <w:r>
              <w:t>Trust</w:t>
            </w:r>
          </w:p>
        </w:tc>
        <w:tc>
          <w:tcPr>
            <w:tcW w:type="dxa" w:w="2448"/>
          </w:tcPr>
          <w:p>
            <w:r>
              <w:t>Primary Responsibility</w:t>
            </w:r>
          </w:p>
        </w:tc>
      </w:tr>
      <w:tr>
        <w:tc>
          <w:tcPr>
            <w:tcW w:type="dxa" w:w="2448"/>
          </w:tcPr>
          <w:p>
            <w:r>
              <w:t>C01</w:t>
            </w:r>
          </w:p>
        </w:tc>
        <w:tc>
          <w:tcPr>
            <w:tcW w:type="dxa" w:w="2448"/>
          </w:tcPr>
          <w:p>
            <w:r>
              <w:t>Control APK</w:t>
            </w:r>
          </w:p>
        </w:tc>
        <w:tc>
          <w:tcPr>
            <w:tcW w:type="dxa" w:w="2448"/>
          </w:tcPr>
          <w:p>
            <w:r>
              <w:t>Control-plane trusted client</w:t>
            </w:r>
          </w:p>
        </w:tc>
        <w:tc>
          <w:tcPr>
            <w:tcW w:type="dxa" w:w="2448"/>
          </w:tcPr>
          <w:p>
            <w:r>
              <w:t>User policy management and diagnostics</w:t>
            </w:r>
          </w:p>
        </w:tc>
      </w:tr>
      <w:tr>
        <w:tc>
          <w:tcPr>
            <w:tcW w:type="dxa" w:w="2448"/>
          </w:tcPr>
          <w:p>
            <w:r>
              <w:t>C02</w:t>
            </w:r>
          </w:p>
        </w:tc>
        <w:tc>
          <w:tcPr>
            <w:tcW w:type="dxa" w:w="2448"/>
          </w:tcPr>
          <w:p>
            <w:r>
              <w:t>LocationPrivacyManagerService</w:t>
            </w:r>
          </w:p>
        </w:tc>
        <w:tc>
          <w:tcPr>
            <w:tcW w:type="dxa" w:w="2448"/>
          </w:tcPr>
          <w:p>
            <w:r>
              <w:t>Trusted</w:t>
            </w:r>
          </w:p>
        </w:tc>
        <w:tc>
          <w:tcPr>
            <w:tcW w:type="dxa" w:w="2448"/>
          </w:tcPr>
          <w:p>
            <w:r>
              <w:t>Privileged policy API, authorization, persistence coordination, lifecycle</w:t>
            </w:r>
          </w:p>
        </w:tc>
      </w:tr>
      <w:tr>
        <w:tc>
          <w:tcPr>
            <w:tcW w:type="dxa" w:w="2448"/>
          </w:tcPr>
          <w:p>
            <w:r>
              <w:t>C03</w:t>
            </w:r>
          </w:p>
        </w:tc>
        <w:tc>
          <w:tcPr>
            <w:tcW w:type="dxa" w:w="2448"/>
          </w:tcPr>
          <w:p>
            <w:r>
              <w:t>Policy Store</w:t>
            </w:r>
          </w:p>
        </w:tc>
        <w:tc>
          <w:tcPr>
            <w:tcW w:type="dxa" w:w="2448"/>
          </w:tcPr>
          <w:p>
            <w:r>
              <w:t>Trusted</w:t>
            </w:r>
          </w:p>
        </w:tc>
        <w:tc>
          <w:tcPr>
            <w:tcW w:type="dxa" w:w="2448"/>
          </w:tcPr>
          <w:p>
            <w:r>
              <w:t>Persistent policy state</w:t>
            </w:r>
          </w:p>
        </w:tc>
      </w:tr>
      <w:tr>
        <w:tc>
          <w:tcPr>
            <w:tcW w:type="dxa" w:w="2448"/>
          </w:tcPr>
          <w:p>
            <w:r>
              <w:t>C04</w:t>
            </w:r>
          </w:p>
        </w:tc>
        <w:tc>
          <w:tcPr>
            <w:tcW w:type="dxa" w:w="2448"/>
          </w:tcPr>
          <w:p>
            <w:r>
              <w:t>Application Identity Resolver</w:t>
            </w:r>
          </w:p>
        </w:tc>
        <w:tc>
          <w:tcPr>
            <w:tcW w:type="dxa" w:w="2448"/>
          </w:tcPr>
          <w:p>
            <w:r>
              <w:t>Trusted</w:t>
            </w:r>
          </w:p>
        </w:tc>
        <w:tc>
          <w:tcPr>
            <w:tcW w:type="dxa" w:w="2448"/>
          </w:tcPr>
          <w:p>
            <w:r>
              <w:t>Resolve trusted UID/package/user identity</w:t>
            </w:r>
          </w:p>
        </w:tc>
      </w:tr>
      <w:tr>
        <w:tc>
          <w:tcPr>
            <w:tcW w:type="dxa" w:w="2448"/>
          </w:tcPr>
          <w:p>
            <w:r>
              <w:t>C05</w:t>
            </w:r>
          </w:p>
        </w:tc>
        <w:tc>
          <w:tcPr>
            <w:tcW w:type="dxa" w:w="2448"/>
          </w:tcPr>
          <w:p>
            <w:r>
              <w:t>Policy Engine</w:t>
            </w:r>
          </w:p>
        </w:tc>
        <w:tc>
          <w:tcPr>
            <w:tcW w:type="dxa" w:w="2448"/>
          </w:tcPr>
          <w:p>
            <w:r>
              <w:t>Trusted</w:t>
            </w:r>
          </w:p>
        </w:tc>
        <w:tc>
          <w:tcPr>
            <w:tcW w:type="dxa" w:w="2448"/>
          </w:tcPr>
          <w:p>
            <w:r>
              <w:t>Compute effective policy and policy decisions</w:t>
            </w:r>
          </w:p>
        </w:tc>
      </w:tr>
      <w:tr>
        <w:tc>
          <w:tcPr>
            <w:tcW w:type="dxa" w:w="2448"/>
          </w:tcPr>
          <w:p>
            <w:r>
              <w:t>C06</w:t>
            </w:r>
          </w:p>
        </w:tc>
        <w:tc>
          <w:tcPr>
            <w:tcW w:type="dxa" w:w="2448"/>
          </w:tcPr>
          <w:p>
            <w:r>
              <w:t>Temporal Controller</w:t>
            </w:r>
          </w:p>
        </w:tc>
        <w:tc>
          <w:tcPr>
            <w:tcW w:type="dxa" w:w="2448"/>
          </w:tcPr>
          <w:p>
            <w:r>
              <w:t>Trusted</w:t>
            </w:r>
          </w:p>
        </w:tc>
        <w:tc>
          <w:tcPr>
            <w:tcW w:type="dxa" w:w="2448"/>
          </w:tcPr>
          <w:p>
            <w:r>
              <w:t>Track and enforce delivery timing</w:t>
            </w:r>
          </w:p>
        </w:tc>
      </w:tr>
      <w:tr>
        <w:tc>
          <w:tcPr>
            <w:tcW w:type="dxa" w:w="2448"/>
          </w:tcPr>
          <w:p>
            <w:r>
              <w:t>C07</w:t>
            </w:r>
          </w:p>
        </w:tc>
        <w:tc>
          <w:tcPr>
            <w:tcW w:type="dxa" w:w="2448"/>
          </w:tcPr>
          <w:p>
            <w:r>
              <w:t>Transformation Engine</w:t>
            </w:r>
          </w:p>
        </w:tc>
        <w:tc>
          <w:tcPr>
            <w:tcW w:type="dxa" w:w="2448"/>
          </w:tcPr>
          <w:p>
            <w:r>
              <w:t>Trusted</w:t>
            </w:r>
          </w:p>
        </w:tc>
        <w:tc>
          <w:tcPr>
            <w:tcW w:type="dxa" w:w="2448"/>
          </w:tcPr>
          <w:p>
            <w:r>
              <w:t>Transform raw location according to policy</w:t>
            </w:r>
          </w:p>
        </w:tc>
      </w:tr>
      <w:tr>
        <w:tc>
          <w:tcPr>
            <w:tcW w:type="dxa" w:w="2448"/>
          </w:tcPr>
          <w:p>
            <w:r>
              <w:t>C08</w:t>
            </w:r>
          </w:p>
        </w:tc>
        <w:tc>
          <w:tcPr>
            <w:tcW w:type="dxa" w:w="2448"/>
          </w:tcPr>
          <w:p>
            <w:r>
              <w:t>Metadata Sanitizer</w:t>
            </w:r>
          </w:p>
        </w:tc>
        <w:tc>
          <w:tcPr>
            <w:tcW w:type="dxa" w:w="2448"/>
          </w:tcPr>
          <w:p>
            <w:r>
              <w:t>Trusted</w:t>
            </w:r>
          </w:p>
        </w:tc>
        <w:tc>
          <w:tcPr>
            <w:tcW w:type="dxa" w:w="2448"/>
          </w:tcPr>
          <w:p>
            <w:r>
              <w:t>Make metadata consistent with transformed output</w:t>
            </w:r>
          </w:p>
        </w:tc>
      </w:tr>
      <w:tr>
        <w:tc>
          <w:tcPr>
            <w:tcW w:type="dxa" w:w="2448"/>
          </w:tcPr>
          <w:p>
            <w:r>
              <w:t>C09</w:t>
            </w:r>
          </w:p>
        </w:tc>
        <w:tc>
          <w:tcPr>
            <w:tcW w:type="dxa" w:w="2448"/>
          </w:tcPr>
          <w:p>
            <w:r>
              <w:t>Enforcement Adapter</w:t>
            </w:r>
          </w:p>
        </w:tc>
        <w:tc>
          <w:tcPr>
            <w:tcW w:type="dxa" w:w="2448"/>
          </w:tcPr>
          <w:p>
            <w:r>
              <w:t>Trusted</w:t>
            </w:r>
          </w:p>
        </w:tc>
        <w:tc>
          <w:tcPr>
            <w:tcW w:type="dxa" w:w="2448"/>
          </w:tcPr>
          <w:p>
            <w:r>
              <w:t>Connect policy engine to framework-specific location paths</w:t>
            </w:r>
          </w:p>
        </w:tc>
      </w:tr>
      <w:tr>
        <w:tc>
          <w:tcPr>
            <w:tcW w:type="dxa" w:w="2448"/>
          </w:tcPr>
          <w:p>
            <w:r>
              <w:t>C10</w:t>
            </w:r>
          </w:p>
        </w:tc>
        <w:tc>
          <w:tcPr>
            <w:tcW w:type="dxa" w:w="2448"/>
          </w:tcPr>
          <w:p>
            <w:r>
              <w:t>Audit/Diagnostics</w:t>
            </w:r>
          </w:p>
        </w:tc>
        <w:tc>
          <w:tcPr>
            <w:tcW w:type="dxa" w:w="2448"/>
          </w:tcPr>
          <w:p>
            <w:r>
              <w:t>Trusted</w:t>
            </w:r>
          </w:p>
        </w:tc>
        <w:tc>
          <w:tcPr>
            <w:tcW w:type="dxa" w:w="2448"/>
          </w:tcPr>
          <w:p>
            <w:r>
              <w:t>Record security-relevant outcomes without unnecessary raw location</w:t>
            </w:r>
          </w:p>
        </w:tc>
      </w:tr>
      <w:tr>
        <w:tc>
          <w:tcPr>
            <w:tcW w:type="dxa" w:w="2448"/>
          </w:tcPr>
          <w:p>
            <w:r>
              <w:t>C11</w:t>
            </w:r>
          </w:p>
        </w:tc>
        <w:tc>
          <w:tcPr>
            <w:tcW w:type="dxa" w:w="2448"/>
          </w:tcPr>
          <w:p>
            <w:r>
              <w:t>Android Location Framework</w:t>
            </w:r>
          </w:p>
        </w:tc>
        <w:tc>
          <w:tcPr>
            <w:tcW w:type="dxa" w:w="2448"/>
          </w:tcPr>
          <w:p>
            <w:r>
              <w:t>Trusted platform boundary</w:t>
            </w:r>
          </w:p>
        </w:tc>
        <w:tc>
          <w:tcPr>
            <w:tcW w:type="dxa" w:w="2448"/>
          </w:tcPr>
          <w:p>
            <w:r>
              <w:t>Providers, requests, callbacks, cached/passive paths</w:t>
            </w:r>
          </w:p>
        </w:tc>
      </w:tr>
      <w:tr>
        <w:tc>
          <w:tcPr>
            <w:tcW w:type="dxa" w:w="2448"/>
          </w:tcPr>
          <w:p>
            <w:r>
              <w:t>C12</w:t>
            </w:r>
          </w:p>
        </w:tc>
        <w:tc>
          <w:tcPr>
            <w:tcW w:type="dxa" w:w="2448"/>
          </w:tcPr>
          <w:p>
            <w:r>
              <w:t>GMS / External Location Stack</w:t>
            </w:r>
          </w:p>
        </w:tc>
        <w:tc>
          <w:tcPr>
            <w:tcW w:type="dxa" w:w="2448"/>
          </w:tcPr>
          <w:p>
            <w:r>
              <w:t>Conditional boundary</w:t>
            </w:r>
          </w:p>
        </w:tc>
        <w:tc>
          <w:tcPr>
            <w:tcW w:type="dxa" w:w="2448"/>
          </w:tcPr>
          <w:p>
            <w:r>
              <w:t>External/conditional fused and related paths</w:t>
            </w:r>
          </w:p>
        </w:tc>
      </w:tr>
      <w:tr>
        <w:tc>
          <w:tcPr>
            <w:tcW w:type="dxa" w:w="2448"/>
          </w:tcPr>
          <w:p>
            <w:r>
              <w:t>C13</w:t>
            </w:r>
          </w:p>
        </w:tc>
        <w:tc>
          <w:tcPr>
            <w:tcW w:type="dxa" w:w="2448"/>
          </w:tcPr>
          <w:p>
            <w:r>
              <w:t>Third-Party Application</w:t>
            </w:r>
          </w:p>
        </w:tc>
        <w:tc>
          <w:tcPr>
            <w:tcW w:type="dxa" w:w="2448"/>
          </w:tcPr>
          <w:p>
            <w:r>
              <w:t>Untrusted</w:t>
            </w:r>
          </w:p>
        </w:tc>
        <w:tc>
          <w:tcPr>
            <w:tcW w:type="dxa" w:w="2448"/>
          </w:tcPr>
          <w:p>
            <w:r>
              <w:t>Location consumer</w:t>
            </w:r>
          </w:p>
        </w:tc>
      </w:tr>
    </w:tbl>
    <w:p>
      <w:pPr>
        <w:pStyle w:val="Heading1"/>
      </w:pPr>
      <w:r>
        <w:t>5. Component C01 — Control APK</w:t>
      </w:r>
    </w:p>
    <w:p>
      <w:r>
        <w:rPr>
          <w:b w:val="0"/>
        </w:rPr>
        <w:t>The Control APK is the user-facing control plane.</w:t>
      </w:r>
    </w:p>
    <w:p>
      <w:pPr>
        <w:pStyle w:val="ListBullet"/>
      </w:pPr>
      <w:r>
        <w:t>Display installed/eligible applications.</w:t>
      </w:r>
    </w:p>
    <w:p>
      <w:pPr>
        <w:pStyle w:val="ListBullet"/>
      </w:pPr>
      <w:r>
        <w:t>Display current Android permission state where accessible.</w:t>
      </w:r>
    </w:p>
    <w:p>
      <w:pPr>
        <w:pStyle w:val="ListBullet"/>
      </w:pPr>
      <w:r>
        <w:t>Display ALPF policy state.</w:t>
      </w:r>
    </w:p>
    <w:p>
      <w:pPr>
        <w:pStyle w:val="ListBullet"/>
      </w:pPr>
      <w:r>
        <w:t>Create, update, reset, and inspect policies through the privileged service.</w:t>
      </w:r>
    </w:p>
    <w:p>
      <w:pPr>
        <w:pStyle w:val="ListBullet"/>
      </w:pPr>
      <w:r>
        <w:t>Display authorized diagnostics.</w:t>
      </w:r>
    </w:p>
    <w:p>
      <w:pPr>
        <w:pStyle w:val="ListBullet"/>
      </w:pPr>
      <w:r>
        <w:t>Clearly communicate unsupported enforcement paths.</w:t>
      </w:r>
    </w:p>
    <w:p>
      <w:r>
        <w:rPr>
          <w:b w:val="0"/>
        </w:rPr>
        <w:t>The Control APK must not receive raw location merely to perform ordinary enforcement.</w:t>
      </w:r>
    </w:p>
    <w:p>
      <w:pPr>
        <w:pStyle w:val="Heading1"/>
      </w:pPr>
      <w:r>
        <w:t>6. Component C02 — LocationPrivacyManagerService</w:t>
      </w:r>
    </w:p>
    <w:p>
      <w:r>
        <w:rPr>
          <w:b w:val="0"/>
        </w:rPr>
        <w:t>LocationPrivacyManagerService is a privileged Android system service hosted in the trusted system process.</w:t>
      </w:r>
    </w:p>
    <w:p>
      <w:pPr>
        <w:pStyle w:val="ListBullet"/>
      </w:pPr>
      <w:r>
        <w:t>Expose the policy-management Binder interface.</w:t>
      </w:r>
    </w:p>
    <w:p>
      <w:pPr>
        <w:pStyle w:val="ListBullet"/>
      </w:pPr>
      <w:r>
        <w:t>Authenticate and authorize callers.</w:t>
      </w:r>
    </w:p>
    <w:p>
      <w:pPr>
        <w:pStyle w:val="ListBullet"/>
      </w:pPr>
      <w:r>
        <w:t>Validate policy updates.</w:t>
      </w:r>
    </w:p>
    <w:p>
      <w:pPr>
        <w:pStyle w:val="ListBullet"/>
      </w:pPr>
      <w:r>
        <w:t>Coordinate policy persistence.</w:t>
      </w:r>
    </w:p>
    <w:p>
      <w:pPr>
        <w:pStyle w:val="ListBullet"/>
      </w:pPr>
      <w:r>
        <w:t>Resolve lifecycle and system-user context.</w:t>
      </w:r>
    </w:p>
    <w:p>
      <w:pPr>
        <w:pStyle w:val="ListBullet"/>
      </w:pPr>
      <w:r>
        <w:t>Expose authorized status and diagnostics.</w:t>
      </w:r>
    </w:p>
    <w:p>
      <w:pPr>
        <w:pStyle w:val="ListBullet"/>
      </w:pPr>
      <w:r>
        <w:t>Provide local access to policy state for framework enforcement components.</w:t>
      </w:r>
    </w:p>
    <w:p>
      <w:r>
        <w:rPr>
          <w:b w:val="0"/>
        </w:rPr>
        <w:t>It is the main control-plane entry point into the trusted enforcement subsystem.</w:t>
      </w:r>
    </w:p>
    <w:p>
      <w:pPr>
        <w:pStyle w:val="Heading1"/>
      </w:pPr>
      <w:r>
        <w:t>7. Component C03 — Policy Store</w:t>
      </w:r>
    </w:p>
    <w:p>
      <w:r>
        <w:rPr>
          <w:b w:val="0"/>
        </w:rPr>
        <w:t>The Policy Store persists application policies and associated versions.</w:t>
      </w:r>
    </w:p>
    <w:p>
      <w:pPr>
        <w:pStyle w:val="ListBullet"/>
      </w:pPr>
      <w:r>
        <w:t>Bind policy to application identity/user context.</w:t>
      </w:r>
    </w:p>
    <w:p>
      <w:pPr>
        <w:pStyle w:val="ListBullet"/>
      </w:pPr>
      <w:r>
        <w:t>Persist valid policy state.</w:t>
      </w:r>
    </w:p>
    <w:p>
      <w:pPr>
        <w:pStyle w:val="ListBullet"/>
      </w:pPr>
      <w:r>
        <w:t>Reject or quarantine invalid data.</w:t>
      </w:r>
    </w:p>
    <w:p>
      <w:pPr>
        <w:pStyle w:val="ListBullet"/>
      </w:pPr>
      <w:r>
        <w:t>Provide policy state to the system service.</w:t>
      </w:r>
    </w:p>
    <w:p>
      <w:pPr>
        <w:pStyle w:val="ListBullet"/>
      </w:pPr>
      <w:r>
        <w:t>Support recovery after service restart.</w:t>
      </w:r>
    </w:p>
    <w:p>
      <w:pPr>
        <w:pStyle w:val="ListBullet"/>
      </w:pPr>
      <w:r>
        <w:t>Preserve integrity of authoritative policy state.</w:t>
      </w:r>
    </w:p>
    <w:p>
      <w:pPr>
        <w:pStyle w:val="Heading1"/>
      </w:pPr>
      <w:r>
        <w:t>8. Component C04 — Application Identity Resolver</w:t>
      </w:r>
    </w:p>
    <w:p>
      <w:r>
        <w:rPr>
          <w:b w:val="0"/>
        </w:rPr>
        <w:t>The identity resolver creates a trusted application identity from Android process/request context.</w:t>
      </w:r>
    </w:p>
    <w:p>
      <w:pPr>
        <w:ind w:left="360"/>
      </w:pPr>
      <w:r>
        <w:rPr>
          <w:rFonts w:ascii="Consolas" w:hAnsi="Consolas"/>
          <w:sz w:val="18"/>
        </w:rPr>
        <w:t>ApplicationIdentity {</w:t>
        <w:br/>
        <w:t xml:space="preserve">    uid</w:t>
        <w:br/>
        <w:t xml:space="preserve">    userId</w:t>
        <w:br/>
        <w:t xml:space="preserve">    packageName</w:t>
        <w:br/>
        <w:t xml:space="preserve">    attributionContext (where applicable)</w:t>
        <w:br/>
        <w:t>}</w:t>
      </w:r>
    </w:p>
    <w:p>
      <w:r>
        <w:rPr>
          <w:b w:val="0"/>
        </w:rPr>
        <w:t>The package name must not be accepted solely from application-supplied request data as an identity assertion.</w:t>
      </w:r>
    </w:p>
    <w:p>
      <w:pPr>
        <w:pStyle w:val="Heading1"/>
      </w:pPr>
      <w:r>
        <w:t>9. Component C05 — Policy Engine</w:t>
      </w:r>
    </w:p>
    <w:p>
      <w:r>
        <w:rPr>
          <w:b w:val="0"/>
        </w:rPr>
        <w:t>The Policy Engine is the logical core of ALPF.</w:t>
      </w:r>
    </w:p>
    <w:p>
      <w:pPr>
        <w:ind w:left="360"/>
      </w:pPr>
      <w:r>
        <w:rPr>
          <w:rFonts w:ascii="Consolas" w:hAnsi="Consolas"/>
          <w:sz w:val="18"/>
        </w:rPr>
        <w:t>PolicyDecision evaluate(</w:t>
        <w:br/>
        <w:t xml:space="preserve">    ApplicationIdentity app,</w:t>
        <w:br/>
        <w:t xml:space="preserve">    EffectivePolicy policy,</w:t>
        <w:br/>
        <w:t xml:space="preserve">    RequestContext context,</w:t>
        <w:br/>
        <w:t xml:space="preserve">    LocationSource source</w:t>
        <w:br/>
        <w:t>)</w:t>
      </w:r>
    </w:p>
    <w:p>
      <w:r>
        <w:rPr>
          <w:b w:val="0"/>
        </w:rPr>
        <w:t>The engine produces a decision such as:</w:t>
      </w:r>
    </w:p>
    <w:p>
      <w:pPr>
        <w:pStyle w:val="ListBullet"/>
      </w:pPr>
      <w:r>
        <w:t>DENY</w:t>
      </w:r>
    </w:p>
    <w:p>
      <w:pPr>
        <w:pStyle w:val="ListBullet"/>
      </w:pPr>
      <w:r>
        <w:t>ALLOW</w:t>
      </w:r>
    </w:p>
    <w:p>
      <w:pPr>
        <w:pStyle w:val="ListBullet"/>
      </w:pPr>
      <w:r>
        <w:t>ALLOW_TRANSFORM</w:t>
      </w:r>
    </w:p>
    <w:p>
      <w:pPr>
        <w:pStyle w:val="ListBullet"/>
      </w:pPr>
      <w:r>
        <w:t>ALLOW_WITH_TEMPORAL_RESTRICTION</w:t>
      </w:r>
    </w:p>
    <w:p>
      <w:r>
        <w:rPr>
          <w:b w:val="0"/>
        </w:rPr>
        <w:t>The engine must be deterministic for equivalent inputs and policy state.</w:t>
      </w:r>
    </w:p>
    <w:p>
      <w:pPr>
        <w:pStyle w:val="Heading1"/>
      </w:pPr>
      <w:r>
        <w:t>10. Component C06 — Temporal Controller</w:t>
      </w:r>
    </w:p>
    <w:p>
      <w:r>
        <w:rPr>
          <w:b w:val="0"/>
        </w:rPr>
        <w:t>The Temporal Controller determines whether a delivery is permitted at the current point in time.</w:t>
      </w:r>
    </w:p>
    <w:p>
      <w:pPr>
        <w:ind w:left="360"/>
      </w:pPr>
      <w:r>
        <w:rPr>
          <w:rFonts w:ascii="Consolas" w:hAnsi="Consolas"/>
          <w:sz w:val="18"/>
        </w:rPr>
        <w:t>TemporalDecision evaluate(</w:t>
        <w:br/>
        <w:t xml:space="preserve">    applicationIdentity,</w:t>
        <w:br/>
        <w:t xml:space="preserve">    temporalPolicy,</w:t>
        <w:br/>
        <w:t xml:space="preserve">    deliveryTimestamp,</w:t>
        <w:br/>
        <w:t xml:space="preserve">    previousDeliveryState</w:t>
        <w:br/>
        <w:t>)</w:t>
      </w:r>
    </w:p>
    <w:p>
      <w:pPr>
        <w:pStyle w:val="ListBullet"/>
      </w:pPr>
      <w:r>
        <w:t>Maintain last permitted delivery state.</w:t>
      </w:r>
    </w:p>
    <w:p>
      <w:pPr>
        <w:pStyle w:val="ListBullet"/>
      </w:pPr>
      <w:r>
        <w:t>Apply minimum interval or equivalent policy.</w:t>
      </w:r>
    </w:p>
    <w:p>
      <w:pPr>
        <w:pStyle w:val="ListBullet"/>
      </w:pPr>
      <w:r>
        <w:t>Handle policy changes.</w:t>
      </w:r>
    </w:p>
    <w:p>
      <w:pPr>
        <w:pStyle w:val="ListBullet"/>
      </w:pPr>
      <w:r>
        <w:t>Handle multiple requests from one application identity.</w:t>
      </w:r>
    </w:p>
    <w:p>
      <w:pPr>
        <w:pStyle w:val="ListBullet"/>
      </w:pPr>
      <w:r>
        <w:t>Provide deterministic behavior for tests.</w:t>
      </w:r>
    </w:p>
    <w:p>
      <w:pPr>
        <w:pStyle w:val="Heading1"/>
      </w:pPr>
      <w:r>
        <w:t>11. Component C07 — Transformation Engine</w:t>
      </w:r>
    </w:p>
    <w:p>
      <w:r>
        <w:rPr>
          <w:b w:val="0"/>
        </w:rPr>
        <w:t>The Transformation Engine converts raw location information into the representation permitted by the effective spatial/transformation policy.</w:t>
      </w:r>
    </w:p>
    <w:p>
      <w:pPr>
        <w:ind w:left="360"/>
      </w:pPr>
      <w:r>
        <w:rPr>
          <w:rFonts w:ascii="Consolas" w:hAnsi="Consolas"/>
          <w:sz w:val="18"/>
        </w:rPr>
        <w:t>TransformedLocation transform(</w:t>
        <w:br/>
        <w:t xml:space="preserve">    RawLocation location,</w:t>
        <w:br/>
        <w:t xml:space="preserve">    TransformationPolicy policy,</w:t>
        <w:br/>
        <w:t xml:space="preserve">    TransformationContext context</w:t>
        <w:br/>
        <w:t>)</w:t>
      </w:r>
    </w:p>
    <w:p>
      <w:r>
        <w:rPr>
          <w:b w:val="0"/>
        </w:rPr>
        <w:t>Candidate transformation modes include:</w:t>
      </w:r>
    </w:p>
    <w:p>
      <w:pPr>
        <w:pStyle w:val="ListBullet"/>
      </w:pPr>
      <w:r>
        <w:t>EXACT</w:t>
      </w:r>
    </w:p>
    <w:p>
      <w:pPr>
        <w:pStyle w:val="ListBullet"/>
      </w:pPr>
      <w:r>
        <w:t>GRID</w:t>
      </w:r>
    </w:p>
    <w:p>
      <w:pPr>
        <w:pStyle w:val="ListBullet"/>
      </w:pPr>
      <w:r>
        <w:t>RADIUS</w:t>
      </w:r>
    </w:p>
    <w:p>
      <w:pPr>
        <w:pStyle w:val="ListBullet"/>
      </w:pPr>
      <w:r>
        <w:t>CITY</w:t>
      </w:r>
    </w:p>
    <w:p>
      <w:pPr>
        <w:pStyle w:val="ListBullet"/>
      </w:pPr>
      <w:r>
        <w:t>REGION</w:t>
      </w:r>
    </w:p>
    <w:p>
      <w:pPr>
        <w:pStyle w:val="ListBullet"/>
      </w:pPr>
      <w:r>
        <w:t>NOISE</w:t>
      </w:r>
    </w:p>
    <w:p>
      <w:r>
        <w:rPr>
          <w:b w:val="0"/>
        </w:rPr>
        <w:t>The implementation must explicitly define deterministic versus randomized behavior.</w:t>
      </w:r>
    </w:p>
    <w:p>
      <w:pPr>
        <w:pStyle w:val="Heading1"/>
      </w:pPr>
      <w:r>
        <w:t>12. Component C08 — Metadata Sanitizer</w:t>
      </w:r>
    </w:p>
    <w:p>
      <w:r>
        <w:rPr>
          <w:b w:val="0"/>
        </w:rPr>
        <w:t>The Metadata Sanitizer ensures that the transformed coordinate is not accompanied by contradictory high-precision metadata.</w:t>
      </w:r>
    </w:p>
    <w:p>
      <w:pPr>
        <w:pStyle w:val="ListBullet"/>
      </w:pPr>
      <w:r>
        <w:t>Accuracy</w:t>
      </w:r>
    </w:p>
    <w:p>
      <w:pPr>
        <w:pStyle w:val="ListBullet"/>
      </w:pPr>
      <w:r>
        <w:t>Altitude</w:t>
      </w:r>
    </w:p>
    <w:p>
      <w:pPr>
        <w:pStyle w:val="ListBullet"/>
      </w:pPr>
      <w:r>
        <w:t>Speed</w:t>
      </w:r>
    </w:p>
    <w:p>
      <w:pPr>
        <w:pStyle w:val="ListBullet"/>
      </w:pPr>
      <w:r>
        <w:t>Bearing</w:t>
      </w:r>
    </w:p>
    <w:p>
      <w:pPr>
        <w:pStyle w:val="ListBullet"/>
      </w:pPr>
      <w:r>
        <w:t>Timestamp</w:t>
      </w:r>
    </w:p>
    <w:p>
      <w:pPr>
        <w:pStyle w:val="ListBullet"/>
      </w:pPr>
      <w:r>
        <w:t>Elapsed realtime information</w:t>
      </w:r>
    </w:p>
    <w:p>
      <w:pPr>
        <w:pStyle w:val="ListBullet"/>
      </w:pPr>
      <w:r>
        <w:t>Provider</w:t>
      </w:r>
    </w:p>
    <w:p>
      <w:pPr>
        <w:pStyle w:val="ListBullet"/>
      </w:pPr>
      <w:r>
        <w:t>Relevant extras</w:t>
      </w:r>
    </w:p>
    <w:p>
      <w:r>
        <w:rPr>
          <w:b w:val="0"/>
        </w:rPr>
        <w:t>The sanitizer operates after transformation and before application delivery.</w:t>
      </w:r>
    </w:p>
    <w:p>
      <w:pPr>
        <w:pStyle w:val="Heading1"/>
      </w:pPr>
      <w:r>
        <w:t>13. Component C09 — Enforcement Adapter</w:t>
      </w:r>
    </w:p>
    <w:p>
      <w:r>
        <w:rPr>
          <w:b w:val="0"/>
        </w:rPr>
        <w:t>The Enforcement Adapter is the architectural abstraction connecting ALPF to Android-specific location enforcement points.</w:t>
      </w:r>
    </w:p>
    <w:p>
      <w:r>
        <w:rPr>
          <w:b w:val="0"/>
        </w:rPr>
        <w:t>This separation allows the policy model to remain stable while Android-specific implementations differ across versions or paths.</w:t>
      </w:r>
    </w:p>
    <w:p>
      <w:pPr>
        <w:ind w:left="360"/>
      </w:pPr>
      <w:r>
        <w:rPr>
          <w:rFonts w:ascii="Consolas" w:hAnsi="Consolas"/>
          <w:sz w:val="18"/>
        </w:rPr>
        <w:t>Framework location event</w:t>
        <w:br/>
        <w:t xml:space="preserve">        ↓</w:t>
        <w:br/>
        <w:t>Enforcement Adapter</w:t>
        <w:br/>
        <w:t xml:space="preserve">        ↓</w:t>
        <w:br/>
        <w:t>Application Identity</w:t>
        <w:br/>
        <w:t xml:space="preserve">        ↓</w:t>
        <w:br/>
        <w:t>Policy Engine</w:t>
        <w:br/>
        <w:t xml:space="preserve">        ↓</w:t>
        <w:br/>
        <w:t>Temporal Controller</w:t>
        <w:br/>
        <w:t xml:space="preserve">        ↓</w:t>
        <w:br/>
        <w:t>Transformation Engine</w:t>
        <w:br/>
        <w:t xml:space="preserve">        ↓</w:t>
        <w:br/>
        <w:t>Metadata Sanitizer</w:t>
        <w:br/>
        <w:t xml:space="preserve">        ↓</w:t>
        <w:br/>
        <w:t>Framework delivery</w:t>
      </w:r>
    </w:p>
    <w:p>
      <w:pPr>
        <w:pStyle w:val="Heading1"/>
      </w:pPr>
      <w:r>
        <w:t>14. Component C10 — Audit and Diagnostics</w:t>
      </w:r>
    </w:p>
    <w:p>
      <w:r>
        <w:rPr>
          <w:b w:val="0"/>
        </w:rPr>
        <w:t>Audit/Diagnostics records enforcement outcomes required for testing, debugging, and research evaluation.</w:t>
      </w:r>
    </w:p>
    <w:p>
      <w:pPr>
        <w:pStyle w:val="ListBullet"/>
      </w:pPr>
      <w:r>
        <w:t>Policy decision</w:t>
      </w:r>
    </w:p>
    <w:p>
      <w:pPr>
        <w:pStyle w:val="ListBullet"/>
      </w:pPr>
      <w:r>
        <w:t>Application identity reference</w:t>
      </w:r>
    </w:p>
    <w:p>
      <w:pPr>
        <w:pStyle w:val="ListBullet"/>
      </w:pPr>
      <w:r>
        <w:t>Policy version</w:t>
      </w:r>
    </w:p>
    <w:p>
      <w:pPr>
        <w:pStyle w:val="ListBullet"/>
      </w:pPr>
      <w:r>
        <w:t>Source classification</w:t>
      </w:r>
    </w:p>
    <w:p>
      <w:pPr>
        <w:pStyle w:val="ListBullet"/>
      </w:pPr>
      <w:r>
        <w:t>Transformation mode</w:t>
      </w:r>
    </w:p>
    <w:p>
      <w:pPr>
        <w:pStyle w:val="ListBullet"/>
      </w:pPr>
      <w:r>
        <w:t>Temporal decision</w:t>
      </w:r>
    </w:p>
    <w:p>
      <w:pPr>
        <w:pStyle w:val="ListBullet"/>
      </w:pPr>
      <w:r>
        <w:t>Failure category</w:t>
      </w:r>
    </w:p>
    <w:p>
      <w:pPr>
        <w:pStyle w:val="ListBullet"/>
      </w:pPr>
      <w:r>
        <w:t>Experiment/test identifier where applicable</w:t>
      </w:r>
    </w:p>
    <w:p>
      <w:r>
        <w:rPr>
          <w:b w:val="0"/>
        </w:rPr>
        <w:t>Raw coordinates should not be routinely written to production-style logs.</w:t>
      </w:r>
    </w:p>
    <w:p>
      <w:pPr>
        <w:pStyle w:val="Heading1"/>
      </w:pPr>
      <w:r>
        <w:t>15. Component C11 — Android Location Framework</w:t>
      </w:r>
    </w:p>
    <w:p>
      <w:r>
        <w:rPr>
          <w:b w:val="0"/>
        </w:rPr>
        <w:t>The Android Location Framework is the external trusted platform environment into which ALPF integrates.</w:t>
      </w:r>
    </w:p>
    <w:p>
      <w:r>
        <w:rPr>
          <w:b w:val="0"/>
        </w:rPr>
        <w:t>The exact enforcement locations are intentionally not frozen here. The subsequent API &amp; Enforcement Matrix will map request APIs, providers, callbacks, cached state, passive location, geofencing, GNSS interfaces, and other relevant paths.</w:t>
      </w:r>
    </w:p>
    <w:p>
      <w:pPr>
        <w:pStyle w:val="Heading1"/>
      </w:pPr>
      <w:r>
        <w:t>16. Component C12 — GMS / External Location Stack</w:t>
      </w:r>
    </w:p>
    <w:p>
      <w:r>
        <w:rPr>
          <w:b w:val="0"/>
        </w:rPr>
        <w:t>Google Play Services and other external components are represented as a conditional boundary.</w:t>
      </w:r>
    </w:p>
    <w:p>
      <w:r>
        <w:rPr>
          <w:b w:val="0"/>
        </w:rPr>
        <w:t>The architecture does not assume that AOSP framework modification automatically controls every fused-location or GMS-mediated path.</w:t>
      </w:r>
    </w:p>
    <w:p>
      <w:pPr>
        <w:pStyle w:val="Heading1"/>
      </w:pPr>
      <w:r>
        <w:t>17. Component C13 — Third-Party Application</w:t>
      </w:r>
    </w:p>
    <w:p>
      <w:r>
        <w:rPr>
          <w:b w:val="0"/>
        </w:rPr>
        <w:t>Third-party applications are untrusted consumers.</w:t>
      </w:r>
    </w:p>
    <w:p>
      <w:r>
        <w:rPr>
          <w:b w:val="0"/>
        </w:rPr>
        <w:t>The architecture assumes that an application may attempt to obtain more location information than its policy allows, but does not assume kernel/system compromise.</w:t>
      </w:r>
    </w:p>
    <w:p>
      <w:pPr>
        <w:pStyle w:val="Heading1"/>
      </w:pPr>
      <w:r>
        <w:t>18. Policy Data Model</w:t>
      </w:r>
    </w:p>
    <w:p>
      <w:pPr>
        <w:ind w:left="360"/>
      </w:pPr>
      <w:r>
        <w:rPr>
          <w:rFonts w:ascii="Consolas" w:hAnsi="Consolas"/>
          <w:sz w:val="18"/>
        </w:rPr>
        <w:t>ApplicationPolicy {</w:t>
        <w:br/>
        <w:t xml:space="preserve">    ApplicationIdentity identity</w:t>
        <w:br/>
        <w:br/>
        <w:t xml:space="preserve">    SpatialPolicy spatial</w:t>
        <w:br/>
        <w:t xml:space="preserve">    TemporalPolicy temporal</w:t>
        <w:br/>
        <w:t xml:space="preserve">    ContextPolicy context</w:t>
        <w:br/>
        <w:t xml:space="preserve">    SourcePolicy sources</w:t>
        <w:br/>
        <w:br/>
        <w:t xml:space="preserve">    GeofencePolicy geofence</w:t>
        <w:br/>
        <w:t xml:space="preserve">    PassivePolicy passive</w:t>
        <w:br/>
        <w:br/>
        <w:t xml:space="preserve">    TransformationPolicy transformation</w:t>
        <w:br/>
        <w:br/>
        <w:t xml:space="preserve">    PolicyVersion policyVersion</w:t>
        <w:br/>
        <w:t>}</w:t>
      </w:r>
    </w:p>
    <w:p>
      <w:r>
        <w:rPr>
          <w:b w:val="0"/>
        </w:rPr>
        <w:t>The final serialized schema will be defined separately. This document establishes the logical fields and ownership.</w:t>
      </w:r>
    </w:p>
    <w:p>
      <w:pPr>
        <w:pStyle w:val="Heading1"/>
      </w:pPr>
      <w:r>
        <w:t>19. Effective Policy Model</w:t>
      </w:r>
    </w:p>
    <w:p>
      <w:pPr>
        <w:ind w:left="360"/>
      </w:pPr>
      <w:r>
        <w:rPr>
          <w:rFonts w:ascii="Consolas" w:hAnsi="Consolas"/>
          <w:sz w:val="18"/>
        </w:rPr>
        <w:t>AndroidAuthorization</w:t>
        <w:br/>
        <w:t xml:space="preserve">        +</w:t>
        <w:br/>
        <w:t>ApplicationPolicy</w:t>
        <w:br/>
        <w:t xml:space="preserve">        +</w:t>
        <w:br/>
        <w:t>RequestContext</w:t>
        <w:br/>
        <w:t xml:space="preserve">        ↓</w:t>
        <w:br/>
        <w:t>EffectivePolicy</w:t>
        <w:br/>
        <w:t xml:space="preserve">        ↓</w:t>
        <w:br/>
        <w:t>PolicyDecision</w:t>
      </w:r>
    </w:p>
    <w:p>
      <w:r>
        <w:rPr>
          <w:b w:val="0"/>
        </w:rPr>
        <w:t>The effective policy is never more permissive than Android's authorization boundary.</w:t>
      </w:r>
    </w:p>
    <w:p>
      <w:pPr>
        <w:pStyle w:val="Heading1"/>
      </w:pPr>
      <w:r>
        <w:t>20. Request Flow</w:t>
      </w:r>
    </w:p>
    <w:p>
      <w:pPr>
        <w:ind w:left="360"/>
      </w:pPr>
      <w:r>
        <w:rPr>
          <w:rFonts w:ascii="Consolas" w:hAnsi="Consolas"/>
          <w:sz w:val="18"/>
        </w:rPr>
        <w:t>1. Application issues location request</w:t>
        <w:br/>
        <w:t>2. Android framework identifies caller</w:t>
        <w:br/>
        <w:t>3. Application Identity Resolver obtains trusted identity</w:t>
        <w:br/>
        <w:t>4. Enforcement Adapter obtains applicable policy</w:t>
        <w:br/>
        <w:t>5. Effective policy is derived</w:t>
        <w:br/>
        <w:t>6. Policy Engine evaluates request/context/source</w:t>
        <w:br/>
        <w:t>7. Request is allowed, restricted, transformed, or denied</w:t>
        <w:br/>
        <w:t>8. Provider path executes if permitted</w:t>
        <w:br/>
        <w:t>9. Delivery is evaluated again where required</w:t>
        <w:br/>
        <w:t>10. Temporal Controller checks delivery timing</w:t>
        <w:br/>
        <w:t>11. Transformation Engine transforms location</w:t>
        <w:br/>
        <w:t>12. Metadata Sanitizer adjusts metadata</w:t>
        <w:br/>
        <w:t>13. Application receives permitted representation</w:t>
      </w:r>
    </w:p>
    <w:p>
      <w:pPr>
        <w:pStyle w:val="Heading1"/>
      </w:pPr>
      <w:r>
        <w:t>21. Delivery Flow</w:t>
      </w:r>
    </w:p>
    <w:p>
      <w:pPr>
        <w:ind w:left="360"/>
      </w:pPr>
      <w:r>
        <w:rPr>
          <w:rFonts w:ascii="Consolas" w:hAnsi="Consolas"/>
          <w:sz w:val="18"/>
        </w:rPr>
        <w:t>Provider</w:t>
        <w:br/>
        <w:t xml:space="preserve">   ↓</w:t>
        <w:br/>
        <w:t>Raw Location</w:t>
        <w:br/>
        <w:t xml:space="preserve">   ↓</w:t>
        <w:br/>
        <w:t>Identity / Client Context</w:t>
        <w:br/>
        <w:t xml:space="preserve">   ↓</w:t>
        <w:br/>
        <w:t>Effective Policy</w:t>
        <w:br/>
        <w:t xml:space="preserve">   ↓</w:t>
        <w:br/>
        <w:t>Temporal Controller</w:t>
        <w:br/>
        <w:t xml:space="preserve">   ↓</w:t>
        <w:br/>
        <w:t>Transformation Engine</w:t>
        <w:br/>
        <w:t xml:space="preserve">   ↓</w:t>
        <w:br/>
        <w:t>Metadata Sanitizer</w:t>
        <w:br/>
        <w:t xml:space="preserve">   ↓</w:t>
        <w:br/>
        <w:t>Application callback/result</w:t>
      </w:r>
    </w:p>
    <w:p>
      <w:r>
        <w:rPr>
          <w:b w:val="0"/>
        </w:rPr>
        <w:t>The architecture explicitly distinguishes request admission from delivery enforcement.</w:t>
      </w:r>
    </w:p>
    <w:p>
      <w:pPr>
        <w:pStyle w:val="Heading1"/>
      </w:pPr>
      <w:r>
        <w:t>22. Cached Location Flow</w:t>
      </w:r>
    </w:p>
    <w:p>
      <w:pPr>
        <w:ind w:left="360"/>
      </w:pPr>
      <w:r>
        <w:rPr>
          <w:rFonts w:ascii="Consolas" w:hAnsi="Consolas"/>
          <w:sz w:val="18"/>
        </w:rPr>
        <w:t>Cached Location</w:t>
        <w:br/>
        <w:t xml:space="preserve">      ↓</w:t>
        <w:br/>
        <w:t>Receiving Application Identity</w:t>
        <w:br/>
        <w:t xml:space="preserve">      ↓</w:t>
        <w:br/>
        <w:t>Effective Policy</w:t>
        <w:br/>
        <w:t xml:space="preserve">      ↓</w:t>
        <w:br/>
        <w:t>Policy Evaluation</w:t>
        <w:br/>
        <w:t xml:space="preserve">      ↓</w:t>
        <w:br/>
        <w:t>Transform / Restrict / Deny</w:t>
        <w:br/>
        <w:t xml:space="preserve">      ↓</w:t>
        <w:br/>
        <w:t>Application</w:t>
      </w:r>
    </w:p>
    <w:p>
      <w:r>
        <w:rPr>
          <w:b w:val="0"/>
        </w:rPr>
        <w:t>A cached high-precision value must not automatically bypass a current stricter policy.</w:t>
      </w:r>
    </w:p>
    <w:p>
      <w:pPr>
        <w:pStyle w:val="Heading1"/>
      </w:pPr>
      <w:r>
        <w:t>23. Passive Location Flow</w:t>
      </w:r>
    </w:p>
    <w:p>
      <w:pPr>
        <w:ind w:left="360"/>
      </w:pPr>
      <w:r>
        <w:rPr>
          <w:rFonts w:ascii="Consolas" w:hAnsi="Consolas"/>
          <w:sz w:val="18"/>
        </w:rPr>
        <w:t>Provider A</w:t>
        <w:br/>
        <w:t xml:space="preserve">   ↓</w:t>
        <w:br/>
        <w:t>Passive Location</w:t>
        <w:br/>
        <w:t xml:space="preserve">   ↓</w:t>
        <w:br/>
        <w:t>Receiving Application</w:t>
        <w:br/>
        <w:t xml:space="preserve">   ↓</w:t>
        <w:br/>
        <w:t>ALPF Enforcement</w:t>
        <w:br/>
        <w:t xml:space="preserve">   ↓</w:t>
        <w:br/>
        <w:t>Policy-compliant delivery</w:t>
      </w:r>
    </w:p>
    <w:p>
      <w:r>
        <w:rPr>
          <w:b w:val="0"/>
        </w:rPr>
        <w:t>Passive delivery is treated as an independent enforcement path.</w:t>
      </w:r>
    </w:p>
    <w:p>
      <w:pPr>
        <w:pStyle w:val="Heading1"/>
      </w:pPr>
      <w:r>
        <w:t>24. Geofence Flow</w:t>
      </w:r>
    </w:p>
    <w:p>
      <w:pPr>
        <w:ind w:left="360"/>
      </w:pPr>
      <w:r>
        <w:rPr>
          <w:rFonts w:ascii="Consolas" w:hAnsi="Consolas"/>
          <w:sz w:val="18"/>
        </w:rPr>
        <w:t>Application</w:t>
        <w:br/>
        <w:t xml:space="preserve">   ↓</w:t>
        <w:br/>
        <w:t>Geofence Request</w:t>
        <w:br/>
        <w:t xml:space="preserve">   ↓</w:t>
        <w:br/>
        <w:t>Policy Evaluation</w:t>
        <w:br/>
        <w:t xml:space="preserve">   ↓</w:t>
        <w:br/>
        <w:t>Allow / Restrict / Deny</w:t>
        <w:br/>
        <w:t xml:space="preserve">   ↓</w:t>
        <w:br/>
        <w:t>Geofence System</w:t>
        <w:br/>
        <w:t xml:space="preserve">   ↓</w:t>
        <w:br/>
        <w:t>Event</w:t>
        <w:br/>
        <w:t xml:space="preserve">   ↓</w:t>
        <w:br/>
        <w:t>Policy-aware Delivery</w:t>
      </w:r>
    </w:p>
    <w:p>
      <w:r>
        <w:rPr>
          <w:b w:val="0"/>
        </w:rPr>
        <w:t>The exact Android implementation path will determine where enforcement can be inserted.</w:t>
      </w:r>
    </w:p>
    <w:p>
      <w:pPr>
        <w:pStyle w:val="Heading1"/>
      </w:pPr>
      <w:r>
        <w:t>25. Policy Management Flow</w:t>
      </w:r>
    </w:p>
    <w:p>
      <w:pPr>
        <w:ind w:left="360"/>
      </w:pPr>
      <w:r>
        <w:rPr>
          <w:rFonts w:ascii="Consolas" w:hAnsi="Consolas"/>
          <w:sz w:val="18"/>
        </w:rPr>
        <w:t>User</w:t>
        <w:br/>
        <w:t xml:space="preserve"> ↓</w:t>
        <w:br/>
        <w:t>Control APK</w:t>
        <w:br/>
        <w:t xml:space="preserve"> ↓ Binder</w:t>
        <w:br/>
        <w:t>LocationPrivacyManagerService</w:t>
        <w:br/>
        <w:t xml:space="preserve"> ↓</w:t>
        <w:br/>
        <w:t>Authorization</w:t>
        <w:br/>
        <w:t xml:space="preserve"> ↓</w:t>
        <w:br/>
        <w:t>Validation</w:t>
        <w:br/>
        <w:t xml:space="preserve"> ↓</w:t>
        <w:br/>
        <w:t>Policy Store</w:t>
        <w:br/>
        <w:t xml:space="preserve"> ↓</w:t>
        <w:br/>
        <w:t>Policy Version</w:t>
        <w:br/>
        <w:t xml:space="preserve"> ↓</w:t>
        <w:br/>
        <w:t>Active Policy State</w:t>
      </w:r>
    </w:p>
    <w:p>
      <w:r>
        <w:rPr>
          <w:b w:val="0"/>
        </w:rPr>
        <w:t>The Control APK never directly becomes authoritative over framework enforcement.</w:t>
      </w:r>
    </w:p>
    <w:p>
      <w:pPr>
        <w:pStyle w:val="Heading1"/>
      </w:pPr>
      <w:r>
        <w:t>26. Trust Boundaries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Boundary</w:t>
            </w:r>
          </w:p>
        </w:tc>
        <w:tc>
          <w:tcPr>
            <w:tcW w:type="dxa" w:w="2448"/>
          </w:tcPr>
          <w:p>
            <w:r>
              <w:t>From</w:t>
            </w:r>
          </w:p>
        </w:tc>
        <w:tc>
          <w:tcPr>
            <w:tcW w:type="dxa" w:w="2448"/>
          </w:tcPr>
          <w:p>
            <w:r>
              <w:t>To</w:t>
            </w:r>
          </w:p>
        </w:tc>
        <w:tc>
          <w:tcPr>
            <w:tcW w:type="dxa" w:w="2448"/>
          </w:tcPr>
          <w:p>
            <w:r>
              <w:t>Security Requirement</w:t>
            </w:r>
          </w:p>
        </w:tc>
      </w:tr>
      <w:tr>
        <w:tc>
          <w:tcPr>
            <w:tcW w:type="dxa" w:w="2448"/>
          </w:tcPr>
          <w:p>
            <w:r>
              <w:t>B1</w:t>
            </w:r>
          </w:p>
        </w:tc>
        <w:tc>
          <w:tcPr>
            <w:tcW w:type="dxa" w:w="2448"/>
          </w:tcPr>
          <w:p>
            <w:r>
              <w:t>User</w:t>
            </w:r>
          </w:p>
        </w:tc>
        <w:tc>
          <w:tcPr>
            <w:tcW w:type="dxa" w:w="2448"/>
          </w:tcPr>
          <w:p>
            <w:r>
              <w:t>Control APK</w:t>
            </w:r>
          </w:p>
        </w:tc>
        <w:tc>
          <w:tcPr>
            <w:tcW w:type="dxa" w:w="2448"/>
          </w:tcPr>
          <w:p>
            <w:r>
              <w:t>User-facing configuration</w:t>
            </w:r>
          </w:p>
        </w:tc>
      </w:tr>
      <w:tr>
        <w:tc>
          <w:tcPr>
            <w:tcW w:type="dxa" w:w="2448"/>
          </w:tcPr>
          <w:p>
            <w:r>
              <w:t>B2</w:t>
            </w:r>
          </w:p>
        </w:tc>
        <w:tc>
          <w:tcPr>
            <w:tcW w:type="dxa" w:w="2448"/>
          </w:tcPr>
          <w:p>
            <w:r>
              <w:t>Control APK</w:t>
            </w:r>
          </w:p>
        </w:tc>
        <w:tc>
          <w:tcPr>
            <w:tcW w:type="dxa" w:w="2448"/>
          </w:tcPr>
          <w:p>
            <w:r>
              <w:t>System Service</w:t>
            </w:r>
          </w:p>
        </w:tc>
        <w:tc>
          <w:tcPr>
            <w:tcW w:type="dxa" w:w="2448"/>
          </w:tcPr>
          <w:p>
            <w:r>
              <w:t>Authenticated/authorized Binder</w:t>
            </w:r>
          </w:p>
        </w:tc>
      </w:tr>
      <w:tr>
        <w:tc>
          <w:tcPr>
            <w:tcW w:type="dxa" w:w="2448"/>
          </w:tcPr>
          <w:p>
            <w:r>
              <w:t>B3</w:t>
            </w:r>
          </w:p>
        </w:tc>
        <w:tc>
          <w:tcPr>
            <w:tcW w:type="dxa" w:w="2448"/>
          </w:tcPr>
          <w:p>
            <w:r>
              <w:t>Application</w:t>
            </w:r>
          </w:p>
        </w:tc>
        <w:tc>
          <w:tcPr>
            <w:tcW w:type="dxa" w:w="2448"/>
          </w:tcPr>
          <w:p>
            <w:r>
              <w:t>Location Framework</w:t>
            </w:r>
          </w:p>
        </w:tc>
        <w:tc>
          <w:tcPr>
            <w:tcW w:type="dxa" w:w="2448"/>
          </w:tcPr>
          <w:p>
            <w:r>
              <w:t>Trusted caller identity</w:t>
            </w:r>
          </w:p>
        </w:tc>
      </w:tr>
      <w:tr>
        <w:tc>
          <w:tcPr>
            <w:tcW w:type="dxa" w:w="2448"/>
          </w:tcPr>
          <w:p>
            <w:r>
              <w:t>B4</w:t>
            </w:r>
          </w:p>
        </w:tc>
        <w:tc>
          <w:tcPr>
            <w:tcW w:type="dxa" w:w="2448"/>
          </w:tcPr>
          <w:p>
            <w:r>
              <w:t>Framework</w:t>
            </w:r>
          </w:p>
        </w:tc>
        <w:tc>
          <w:tcPr>
            <w:tcW w:type="dxa" w:w="2448"/>
          </w:tcPr>
          <w:p>
            <w:r>
              <w:t>ALPF Enforcement</w:t>
            </w:r>
          </w:p>
        </w:tc>
        <w:tc>
          <w:tcPr>
            <w:tcW w:type="dxa" w:w="2448"/>
          </w:tcPr>
          <w:p>
            <w:r>
              <w:t>Policy evaluation before protected delivery</w:t>
            </w:r>
          </w:p>
        </w:tc>
      </w:tr>
      <w:tr>
        <w:tc>
          <w:tcPr>
            <w:tcW w:type="dxa" w:w="2448"/>
          </w:tcPr>
          <w:p>
            <w:r>
              <w:t>B5</w:t>
            </w:r>
          </w:p>
        </w:tc>
        <w:tc>
          <w:tcPr>
            <w:tcW w:type="dxa" w:w="2448"/>
          </w:tcPr>
          <w:p>
            <w:r>
              <w:t>ALPF</w:t>
            </w:r>
          </w:p>
        </w:tc>
        <w:tc>
          <w:tcPr>
            <w:tcW w:type="dxa" w:w="2448"/>
          </w:tcPr>
          <w:p>
            <w:r>
              <w:t>GMS</w:t>
            </w:r>
          </w:p>
        </w:tc>
        <w:tc>
          <w:tcPr>
            <w:tcW w:type="dxa" w:w="2448"/>
          </w:tcPr>
          <w:p>
            <w:r>
              <w:t>Explicit compatibility/enforcement boundary</w:t>
            </w:r>
          </w:p>
        </w:tc>
      </w:tr>
      <w:tr>
        <w:tc>
          <w:tcPr>
            <w:tcW w:type="dxa" w:w="2448"/>
          </w:tcPr>
          <w:p>
            <w:r>
              <w:t>B6</w:t>
            </w:r>
          </w:p>
        </w:tc>
        <w:tc>
          <w:tcPr>
            <w:tcW w:type="dxa" w:w="2448"/>
          </w:tcPr>
          <w:p>
            <w:r>
              <w:t>ALPF</w:t>
            </w:r>
          </w:p>
        </w:tc>
        <w:tc>
          <w:tcPr>
            <w:tcW w:type="dxa" w:w="2448"/>
          </w:tcPr>
          <w:p>
            <w:r>
              <w:t>Environmental sources</w:t>
            </w:r>
          </w:p>
        </w:tc>
        <w:tc>
          <w:tcPr>
            <w:tcW w:type="dxa" w:w="2448"/>
          </w:tcPr>
          <w:p>
            <w:r>
              <w:t>Explicit source-specific scope</w:t>
            </w:r>
          </w:p>
        </w:tc>
      </w:tr>
    </w:tbl>
    <w:p>
      <w:pPr>
        <w:pStyle w:val="Heading1"/>
      </w:pPr>
      <w:r>
        <w:t>27. Process Placement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Component</w:t>
            </w:r>
          </w:p>
        </w:tc>
        <w:tc>
          <w:tcPr>
            <w:tcW w:type="dxa" w:w="4896"/>
          </w:tcPr>
          <w:p>
            <w:r>
              <w:t>Logical Placement</w:t>
            </w:r>
          </w:p>
        </w:tc>
      </w:tr>
      <w:tr>
        <w:tc>
          <w:tcPr>
            <w:tcW w:type="dxa" w:w="4896"/>
          </w:tcPr>
          <w:p>
            <w:r>
              <w:t>Control APK</w:t>
            </w:r>
          </w:p>
        </w:tc>
        <w:tc>
          <w:tcPr>
            <w:tcW w:type="dxa" w:w="4896"/>
          </w:tcPr>
          <w:p>
            <w:r>
              <w:t>Application process</w:t>
            </w:r>
          </w:p>
        </w:tc>
      </w:tr>
      <w:tr>
        <w:tc>
          <w:tcPr>
            <w:tcW w:type="dxa" w:w="4896"/>
          </w:tcPr>
          <w:p>
            <w:r>
              <w:t>LocationPrivacyManagerService</w:t>
            </w:r>
          </w:p>
        </w:tc>
        <w:tc>
          <w:tcPr>
            <w:tcW w:type="dxa" w:w="4896"/>
          </w:tcPr>
          <w:p>
            <w:r>
              <w:t>system_server / privileged system process</w:t>
            </w:r>
          </w:p>
        </w:tc>
      </w:tr>
      <w:tr>
        <w:tc>
          <w:tcPr>
            <w:tcW w:type="dxa" w:w="4896"/>
          </w:tcPr>
          <w:p>
            <w:r>
              <w:t>Policy Engine</w:t>
            </w:r>
          </w:p>
        </w:tc>
        <w:tc>
          <w:tcPr>
            <w:tcW w:type="dxa" w:w="4896"/>
          </w:tcPr>
          <w:p>
            <w:r>
              <w:t>Prefer in-process with trusted enforcement path</w:t>
            </w:r>
          </w:p>
        </w:tc>
      </w:tr>
      <w:tr>
        <w:tc>
          <w:tcPr>
            <w:tcW w:type="dxa" w:w="4896"/>
          </w:tcPr>
          <w:p>
            <w:r>
              <w:t>Temporal Controller</w:t>
            </w:r>
          </w:p>
        </w:tc>
        <w:tc>
          <w:tcPr>
            <w:tcW w:type="dxa" w:w="4896"/>
          </w:tcPr>
          <w:p>
            <w:r>
              <w:t>In-process trusted enforcement path</w:t>
            </w:r>
          </w:p>
        </w:tc>
      </w:tr>
      <w:tr>
        <w:tc>
          <w:tcPr>
            <w:tcW w:type="dxa" w:w="4896"/>
          </w:tcPr>
          <w:p>
            <w:r>
              <w:t>Transformation Engine</w:t>
            </w:r>
          </w:p>
        </w:tc>
        <w:tc>
          <w:tcPr>
            <w:tcW w:type="dxa" w:w="4896"/>
          </w:tcPr>
          <w:p>
            <w:r>
              <w:t>In-process trusted enforcement path where practical</w:t>
            </w:r>
          </w:p>
        </w:tc>
      </w:tr>
      <w:tr>
        <w:tc>
          <w:tcPr>
            <w:tcW w:type="dxa" w:w="4896"/>
          </w:tcPr>
          <w:p>
            <w:r>
              <w:t>Metadata Sanitizer</w:t>
            </w:r>
          </w:p>
        </w:tc>
        <w:tc>
          <w:tcPr>
            <w:tcW w:type="dxa" w:w="4896"/>
          </w:tcPr>
          <w:p>
            <w:r>
              <w:t>In-process trusted enforcement path</w:t>
            </w:r>
          </w:p>
        </w:tc>
      </w:tr>
      <w:tr>
        <w:tc>
          <w:tcPr>
            <w:tcW w:type="dxa" w:w="4896"/>
          </w:tcPr>
          <w:p>
            <w:r>
              <w:t>Policy Store</w:t>
            </w:r>
          </w:p>
        </w:tc>
        <w:tc>
          <w:tcPr>
            <w:tcW w:type="dxa" w:w="4896"/>
          </w:tcPr>
          <w:p>
            <w:r>
              <w:t>Trusted system-service storage</w:t>
            </w:r>
          </w:p>
        </w:tc>
      </w:tr>
      <w:tr>
        <w:tc>
          <w:tcPr>
            <w:tcW w:type="dxa" w:w="4896"/>
          </w:tcPr>
          <w:p>
            <w:r>
              <w:t>Audit/Diagnostics</w:t>
            </w:r>
          </w:p>
        </w:tc>
        <w:tc>
          <w:tcPr>
            <w:tcW w:type="dxa" w:w="4896"/>
          </w:tcPr>
          <w:p>
            <w:r>
              <w:t>Trusted service subsystem</w:t>
            </w:r>
          </w:p>
        </w:tc>
      </w:tr>
    </w:tbl>
    <w:p>
      <w:pPr>
        <w:pStyle w:val="Heading1"/>
      </w:pPr>
      <w:r>
        <w:t>28. Binder vs Local Interfaces</w:t>
      </w:r>
    </w:p>
    <w:p>
      <w:r>
        <w:rPr>
          <w:b w:val="0"/>
        </w:rPr>
        <w:t>The architecture intentionally uses two classes of interfaces.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Interface</w:t>
            </w:r>
          </w:p>
        </w:tc>
        <w:tc>
          <w:tcPr>
            <w:tcW w:type="dxa" w:w="4896"/>
          </w:tcPr>
          <w:p>
            <w:r>
              <w:t>Use</w:t>
            </w:r>
          </w:p>
        </w:tc>
      </w:tr>
      <w:tr>
        <w:tc>
          <w:tcPr>
            <w:tcW w:type="dxa" w:w="4896"/>
          </w:tcPr>
          <w:p>
            <w:r>
              <w:t>Binder/AIDL</w:t>
            </w:r>
          </w:p>
        </w:tc>
        <w:tc>
          <w:tcPr>
            <w:tcW w:type="dxa" w:w="4896"/>
          </w:tcPr>
          <w:p>
            <w:r>
              <w:t>Control APK ↔ LocationPrivacyManagerService</w:t>
            </w:r>
          </w:p>
        </w:tc>
      </w:tr>
      <w:tr>
        <w:tc>
          <w:tcPr>
            <w:tcW w:type="dxa" w:w="4896"/>
          </w:tcPr>
          <w:p>
            <w:r>
              <w:t>Local/in-process interface</w:t>
            </w:r>
          </w:p>
        </w:tc>
        <w:tc>
          <w:tcPr>
            <w:tcW w:type="dxa" w:w="4896"/>
          </w:tcPr>
          <w:p>
            <w:r>
              <w:t>Framework enforcement ↔ Policy Engine</w:t>
            </w:r>
          </w:p>
        </w:tc>
      </w:tr>
      <w:tr>
        <w:tc>
          <w:tcPr>
            <w:tcW w:type="dxa" w:w="4896"/>
          </w:tcPr>
          <w:p>
            <w:r>
              <w:t>Internal interface</w:t>
            </w:r>
          </w:p>
        </w:tc>
        <w:tc>
          <w:tcPr>
            <w:tcW w:type="dxa" w:w="4896"/>
          </w:tcPr>
          <w:p>
            <w:r>
              <w:t>Policy Engine ↔ Temporal/Transformation/Sanitization components</w:t>
            </w:r>
          </w:p>
        </w:tc>
      </w:tr>
      <w:tr>
        <w:tc>
          <w:tcPr>
            <w:tcW w:type="dxa" w:w="4896"/>
          </w:tcPr>
          <w:p>
            <w:r>
              <w:t>Framework-specific adapter</w:t>
            </w:r>
          </w:p>
        </w:tc>
        <w:tc>
          <w:tcPr>
            <w:tcW w:type="dxa" w:w="4896"/>
          </w:tcPr>
          <w:p>
            <w:r>
              <w:t>Android location path ↔ ALPF policy pipeline</w:t>
            </w:r>
          </w:p>
        </w:tc>
      </w:tr>
    </w:tbl>
    <w:p>
      <w:r>
        <w:rPr>
          <w:b w:val="0"/>
        </w:rPr>
        <w:t>This prevents the high-frequency location path from depending on repeated application-process IPC.</w:t>
      </w:r>
    </w:p>
    <w:p>
      <w:pPr>
        <w:pStyle w:val="Heading1"/>
      </w:pPr>
      <w:r>
        <w:t>29. Lifecycle</w:t>
      </w:r>
    </w:p>
    <w:p>
      <w:pPr>
        <w:pStyle w:val="Heading2"/>
      </w:pPr>
      <w:r>
        <w:t>29.1 Boot</w:t>
      </w:r>
    </w:p>
    <w:p>
      <w:pPr>
        <w:pStyle w:val="ListNumber"/>
      </w:pPr>
      <w:r>
        <w:t>System service starts.</w:t>
      </w:r>
    </w:p>
    <w:p>
      <w:pPr>
        <w:pStyle w:val="ListNumber"/>
      </w:pPr>
      <w:r>
        <w:t>Policy Store is loaded and validated.</w:t>
      </w:r>
    </w:p>
    <w:p>
      <w:pPr>
        <w:pStyle w:val="ListNumber"/>
      </w:pPr>
      <w:r>
        <w:t>Policy state becomes available to the enforcement path.</w:t>
      </w:r>
    </w:p>
    <w:p>
      <w:pPr>
        <w:pStyle w:val="ListNumber"/>
      </w:pPr>
      <w:r>
        <w:t>Framework integration becomes active.</w:t>
      </w:r>
    </w:p>
    <w:p>
      <w:pPr>
        <w:pStyle w:val="ListNumber"/>
      </w:pPr>
      <w:r>
        <w:t>Control APK may query status after the service is available.</w:t>
      </w:r>
    </w:p>
    <w:p>
      <w:pPr>
        <w:pStyle w:val="Heading2"/>
      </w:pPr>
      <w:r>
        <w:t>29.2 Service Restart</w:t>
      </w:r>
    </w:p>
    <w:p>
      <w:pPr>
        <w:pStyle w:val="ListNumber"/>
      </w:pPr>
      <w:r>
        <w:t>Service initializes.</w:t>
      </w:r>
    </w:p>
    <w:p>
      <w:pPr>
        <w:pStyle w:val="ListNumber"/>
      </w:pPr>
      <w:r>
        <w:t>Policy state is recovered.</w:t>
      </w:r>
    </w:p>
    <w:p>
      <w:pPr>
        <w:pStyle w:val="ListNumber"/>
      </w:pPr>
      <w:r>
        <w:t>Integrity is validated.</w:t>
      </w:r>
    </w:p>
    <w:p>
      <w:pPr>
        <w:pStyle w:val="ListNumber"/>
      </w:pPr>
      <w:r>
        <w:t>Enforcement resumes using valid policy state.</w:t>
      </w:r>
    </w:p>
    <w:p>
      <w:pPr>
        <w:pStyle w:val="ListNumber"/>
      </w:pPr>
      <w:r>
        <w:t>Invalid or unavailable state follows the defined safe fallback.</w:t>
      </w:r>
    </w:p>
    <w:p>
      <w:pPr>
        <w:pStyle w:val="Heading2"/>
      </w:pPr>
      <w:r>
        <w:t>29.3 Policy Update</w:t>
      </w:r>
    </w:p>
    <w:p>
      <w:pPr>
        <w:pStyle w:val="ListNumber"/>
      </w:pPr>
      <w:r>
        <w:t>Authorized Control APK submits policy.</w:t>
      </w:r>
    </w:p>
    <w:p>
      <w:pPr>
        <w:pStyle w:val="ListNumber"/>
      </w:pPr>
      <w:r>
        <w:t>Service authenticates caller.</w:t>
      </w:r>
    </w:p>
    <w:p>
      <w:pPr>
        <w:pStyle w:val="ListNumber"/>
      </w:pPr>
      <w:r>
        <w:t>Policy is validated.</w:t>
      </w:r>
    </w:p>
    <w:p>
      <w:pPr>
        <w:pStyle w:val="ListNumber"/>
      </w:pPr>
      <w:r>
        <w:t>Policy is persisted.</w:t>
      </w:r>
    </w:p>
    <w:p>
      <w:pPr>
        <w:pStyle w:val="ListNumber"/>
      </w:pPr>
      <w:r>
        <w:t>Version is advanced.</w:t>
      </w:r>
    </w:p>
    <w:p>
      <w:pPr>
        <w:pStyle w:val="ListNumber"/>
      </w:pPr>
      <w:r>
        <w:t>Active state is updated.</w:t>
      </w:r>
    </w:p>
    <w:p>
      <w:pPr>
        <w:pStyle w:val="ListNumber"/>
      </w:pPr>
      <w:r>
        <w:t>Subsequent decisions use the new effective policy.</w:t>
      </w:r>
    </w:p>
    <w:p>
      <w:pPr>
        <w:pStyle w:val="Heading1"/>
      </w:pPr>
      <w:r>
        <w:t>30. Concurrency Model</w:t>
      </w:r>
    </w:p>
    <w:p>
      <w:r>
        <w:rPr>
          <w:b w:val="0"/>
        </w:rPr>
        <w:t>Multiple applications may request location simultaneously. The policy engine must treat each application identity as an independent policy subject.</w:t>
      </w:r>
    </w:p>
    <w:p>
      <w:pPr>
        <w:pStyle w:val="ListBullet"/>
      </w:pPr>
      <w:r>
        <w:t>Policy state must be safely published to enforcement threads.</w:t>
      </w:r>
    </w:p>
    <w:p>
      <w:pPr>
        <w:pStyle w:val="ListBullet"/>
      </w:pPr>
      <w:r>
        <w:t>Temporal state must be synchronized per applicable identity/request model.</w:t>
      </w:r>
    </w:p>
    <w:p>
      <w:pPr>
        <w:pStyle w:val="ListBullet"/>
      </w:pPr>
      <w:r>
        <w:t>Policy updates must not leave partially applied state.</w:t>
      </w:r>
    </w:p>
    <w:p>
      <w:pPr>
        <w:pStyle w:val="ListBullet"/>
      </w:pPr>
      <w:r>
        <w:t>Transformation operations should avoid mutable shared state unless explicitly synchronized.</w:t>
      </w:r>
    </w:p>
    <w:p>
      <w:pPr>
        <w:pStyle w:val="Heading1"/>
      </w:pPr>
      <w:r>
        <w:t>31. Failure Architecture</w:t>
      </w:r>
    </w:p>
    <w:p>
      <w:pPr>
        <w:ind w:left="360"/>
      </w:pPr>
      <w:r>
        <w:rPr>
          <w:rFonts w:ascii="Consolas" w:hAnsi="Consolas"/>
          <w:sz w:val="18"/>
        </w:rPr>
        <w:t>Critical Failure</w:t>
        <w:br/>
        <w:t xml:space="preserve">      ↓</w:t>
        <w:br/>
        <w:t>Can secure decision be determined?</w:t>
        <w:br/>
        <w:t xml:space="preserve">      │</w:t>
        <w:br/>
        <w:t xml:space="preserve">   ┌──┴──┐</w:t>
        <w:br/>
        <w:t xml:space="preserve">  YES    NO</w:t>
        <w:br/>
        <w:t xml:space="preserve">   │      │</w:t>
        <w:br/>
        <w:t xml:space="preserve">   ▼      ▼</w:t>
        <w:br/>
        <w:t>Enforce  Safe fallback</w:t>
        <w:br/>
        <w:t>policy   restriction</w:t>
        <w:br/>
        <w:t xml:space="preserve">         (defined by policy)</w:t>
      </w:r>
    </w:p>
    <w:p>
      <w:r>
        <w:rPr>
          <w:b w:val="0"/>
        </w:rPr>
        <w:t>The system must never silently convert an enforcement failure into unrestricted raw-location delivery.</w:t>
      </w:r>
    </w:p>
    <w:p>
      <w:pPr>
        <w:pStyle w:val="Heading1"/>
      </w:pPr>
      <w:r>
        <w:t>32. Security Architecture</w:t>
      </w:r>
    </w:p>
    <w:p>
      <w:pPr>
        <w:pStyle w:val="ListBullet"/>
      </w:pPr>
      <w:r>
        <w:t>System service owns privileged policy-management operations.</w:t>
      </w:r>
    </w:p>
    <w:p>
      <w:pPr>
        <w:pStyle w:val="ListBullet"/>
      </w:pPr>
      <w:r>
        <w:t>Binder callers are authenticated and authorized.</w:t>
      </w:r>
    </w:p>
    <w:p>
      <w:pPr>
        <w:pStyle w:val="ListBullet"/>
      </w:pPr>
      <w:r>
        <w:t>Application identity is derived from trusted Android context.</w:t>
      </w:r>
    </w:p>
    <w:p>
      <w:pPr>
        <w:pStyle w:val="ListBullet"/>
      </w:pPr>
      <w:r>
        <w:t>Policy state is integrity-protected.</w:t>
      </w:r>
    </w:p>
    <w:p>
      <w:pPr>
        <w:pStyle w:val="ListBullet"/>
      </w:pPr>
      <w:r>
        <w:t>Policy evaluation is deterministic.</w:t>
      </w:r>
    </w:p>
    <w:p>
      <w:pPr>
        <w:pStyle w:val="ListBullet"/>
      </w:pPr>
      <w:r>
        <w:t>Transformation and metadata sanitization occur before delivery.</w:t>
      </w:r>
    </w:p>
    <w:p>
      <w:pPr>
        <w:pStyle w:val="ListBullet"/>
      </w:pPr>
      <w:r>
        <w:t>Audit data is restricted.</w:t>
      </w:r>
    </w:p>
    <w:p>
      <w:pPr>
        <w:pStyle w:val="ListBullet"/>
      </w:pPr>
      <w:r>
        <w:t>Control APK does not require raw location for ordinary enforcement.</w:t>
      </w:r>
    </w:p>
    <w:p>
      <w:pPr>
        <w:pStyle w:val="Heading1"/>
      </w:pPr>
      <w:r>
        <w:t>33. Research Architecture</w:t>
      </w:r>
    </w:p>
    <w:p>
      <w:r>
        <w:rPr>
          <w:b w:val="0"/>
        </w:rPr>
        <w:t>The architecture deliberately supports both experimentation and final implementation.</w:t>
      </w:r>
    </w:p>
    <w:p>
      <w:pPr>
        <w:ind w:left="360"/>
      </w:pPr>
      <w:r>
        <w:rPr>
          <w:rFonts w:ascii="Consolas" w:hAnsi="Consolas"/>
          <w:sz w:val="18"/>
        </w:rPr>
        <w:t>Shared Policy Model</w:t>
        <w:br/>
        <w:t xml:space="preserve">        │</w:t>
        <w:br/>
        <w:t xml:space="preserve">        ├───────────────► Unit Tests</w:t>
        <w:br/>
        <w:t xml:space="preserve">        │</w:t>
        <w:br/>
        <w:t xml:space="preserve">        ├───────────────► Simulator/Test Harness</w:t>
        <w:br/>
        <w:t xml:space="preserve">        │</w:t>
        <w:br/>
        <w:t xml:space="preserve">        ├───────────────► LSPosed Prototype</w:t>
        <w:br/>
        <w:t xml:space="preserve">        │</w:t>
        <w:br/>
        <w:t xml:space="preserve">        └───────────────► AOSP Enforcement</w:t>
        <w:br/>
      </w:r>
    </w:p>
    <w:p>
      <w:r>
        <w:rPr>
          <w:b w:val="0"/>
        </w:rPr>
        <w:t>This reduces the risk that the research semantics change when moving from prototype to system-level implementation.</w:t>
      </w:r>
    </w:p>
    <w:p>
      <w:pPr>
        <w:pStyle w:val="Heading1"/>
      </w:pPr>
      <w:r>
        <w:t>34. Component Dependency Rules</w:t>
      </w:r>
    </w:p>
    <w:p>
      <w:pPr>
        <w:pStyle w:val="ListBullet"/>
      </w:pPr>
      <w:r>
        <w:t>Control APK may depend on the public management interface but not on internal enforcement implementation.</w:t>
      </w:r>
    </w:p>
    <w:p>
      <w:pPr>
        <w:pStyle w:val="ListBullet"/>
      </w:pPr>
      <w:r>
        <w:t>System service may depend on Policy Store, Identity Resolver, Policy Engine, and diagnostics.</w:t>
      </w:r>
    </w:p>
    <w:p>
      <w:pPr>
        <w:pStyle w:val="ListBullet"/>
      </w:pPr>
      <w:r>
        <w:t>Policy Engine must not depend on the Control APK.</w:t>
      </w:r>
    </w:p>
    <w:p>
      <w:pPr>
        <w:pStyle w:val="ListBullet"/>
      </w:pPr>
      <w:r>
        <w:t>Transformation Engine must not depend on UI state.</w:t>
      </w:r>
    </w:p>
    <w:p>
      <w:pPr>
        <w:pStyle w:val="ListBullet"/>
      </w:pPr>
      <w:r>
        <w:t>Metadata Sanitizer must operate on the transformation result and applicable policy.</w:t>
      </w:r>
    </w:p>
    <w:p>
      <w:pPr>
        <w:pStyle w:val="ListBullet"/>
      </w:pPr>
      <w:r>
        <w:t>Framework adapters may depend on Android-specific APIs but should not redefine policy semantics.</w:t>
      </w:r>
    </w:p>
    <w:p>
      <w:pPr>
        <w:pStyle w:val="ListBullet"/>
      </w:pPr>
      <w:r>
        <w:t>Audit components must not become a required dependency for security enforcement.</w:t>
      </w:r>
    </w:p>
    <w:p>
      <w:pPr>
        <w:pStyle w:val="Heading1"/>
      </w:pPr>
      <w:r>
        <w:t>35. Architecture Invariants</w:t>
      </w:r>
    </w:p>
    <w:p>
      <w:pPr>
        <w:pStyle w:val="ListNumber"/>
      </w:pPr>
      <w:r>
        <w:t>The Control APK cannot directly bypass the system service.</w:t>
      </w:r>
    </w:p>
    <w:p>
      <w:pPr>
        <w:pStyle w:val="ListNumber"/>
      </w:pPr>
      <w:r>
        <w:t>The system service cannot grant more privilege than Android authorization.</w:t>
      </w:r>
    </w:p>
    <w:p>
      <w:pPr>
        <w:pStyle w:val="ListNumber"/>
      </w:pPr>
      <w:r>
        <w:t>The Policy Engine cannot select an identity from untrusted application input.</w:t>
      </w:r>
    </w:p>
    <w:p>
      <w:pPr>
        <w:pStyle w:val="ListNumber"/>
      </w:pPr>
      <w:r>
        <w:t>The high-frequency enforcement path does not require Control APK IPC.</w:t>
      </w:r>
    </w:p>
    <w:p>
      <w:pPr>
        <w:pStyle w:val="ListNumber"/>
      </w:pPr>
      <w:r>
        <w:t>Transformation occurs before protected data reaches the application.</w:t>
      </w:r>
    </w:p>
    <w:p>
      <w:pPr>
        <w:pStyle w:val="ListNumber"/>
      </w:pPr>
      <w:r>
        <w:t>Metadata is evaluated as part of the transformed representation.</w:t>
      </w:r>
    </w:p>
    <w:p>
      <w:pPr>
        <w:pStyle w:val="ListNumber"/>
      </w:pPr>
      <w:r>
        <w:t>Cached and passive paths have explicit architecture hooks.</w:t>
      </w:r>
    </w:p>
    <w:p>
      <w:pPr>
        <w:pStyle w:val="ListNumber"/>
      </w:pPr>
      <w:r>
        <w:t>GMS is not assumed to be covered without evidence.</w:t>
      </w:r>
    </w:p>
    <w:p>
      <w:pPr>
        <w:pStyle w:val="ListNumber"/>
      </w:pPr>
      <w:r>
        <w:t>Failure behavior is explicitly defined.</w:t>
      </w:r>
    </w:p>
    <w:p>
      <w:pPr>
        <w:pStyle w:val="ListNumber"/>
      </w:pPr>
      <w:r>
        <w:t>Policy semantics remain shared across prototype and AOSP implementations.</w:t>
      </w:r>
    </w:p>
    <w:p>
      <w:pPr>
        <w:pStyle w:val="Heading1"/>
      </w:pPr>
      <w:r>
        <w:t>36. Architecture-to-Requirement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Architecture Area</w:t>
            </w:r>
          </w:p>
        </w:tc>
        <w:tc>
          <w:tcPr>
            <w:tcW w:type="dxa" w:w="4896"/>
          </w:tcPr>
          <w:p>
            <w:r>
              <w:t>Requirements Addressed</w:t>
            </w:r>
          </w:p>
        </w:tc>
      </w:tr>
      <w:tr>
        <w:tc>
          <w:tcPr>
            <w:tcW w:type="dxa" w:w="4896"/>
          </w:tcPr>
          <w:p>
            <w:r>
              <w:t>Control plane</w:t>
            </w:r>
          </w:p>
        </w:tc>
        <w:tc>
          <w:tcPr>
            <w:tcW w:type="dxa" w:w="4896"/>
          </w:tcPr>
          <w:p>
            <w:r>
              <w:t>FR-010–018, USE-001–005</w:t>
            </w:r>
          </w:p>
        </w:tc>
      </w:tr>
      <w:tr>
        <w:tc>
          <w:tcPr>
            <w:tcW w:type="dxa" w:w="4896"/>
          </w:tcPr>
          <w:p>
            <w:r>
              <w:t>System service</w:t>
            </w:r>
          </w:p>
        </w:tc>
        <w:tc>
          <w:tcPr>
            <w:tcW w:type="dxa" w:w="4896"/>
          </w:tcPr>
          <w:p>
            <w:r>
              <w:t>FR-120–123, SEC-001–004</w:t>
            </w:r>
          </w:p>
        </w:tc>
      </w:tr>
      <w:tr>
        <w:tc>
          <w:tcPr>
            <w:tcW w:type="dxa" w:w="4896"/>
          </w:tcPr>
          <w:p>
            <w:r>
              <w:t>Effective policy</w:t>
            </w:r>
          </w:p>
        </w:tc>
        <w:tc>
          <w:tcPr>
            <w:tcW w:type="dxa" w:w="4896"/>
          </w:tcPr>
          <w:p>
            <w:r>
              <w:t>FR-020–023, SEC-005</w:t>
            </w:r>
          </w:p>
        </w:tc>
      </w:tr>
      <w:tr>
        <w:tc>
          <w:tcPr>
            <w:tcW w:type="dxa" w:w="4896"/>
          </w:tcPr>
          <w:p>
            <w:r>
              <w:t>Policy engine</w:t>
            </w:r>
          </w:p>
        </w:tc>
        <w:tc>
          <w:tcPr>
            <w:tcW w:type="dxa" w:w="4896"/>
          </w:tcPr>
          <w:p>
            <w:r>
              <w:t>FR-110–113</w:t>
            </w:r>
          </w:p>
        </w:tc>
      </w:tr>
      <w:tr>
        <w:tc>
          <w:tcPr>
            <w:tcW w:type="dxa" w:w="4896"/>
          </w:tcPr>
          <w:p>
            <w:r>
              <w:t>Temporal controller</w:t>
            </w:r>
          </w:p>
        </w:tc>
        <w:tc>
          <w:tcPr>
            <w:tcW w:type="dxa" w:w="4896"/>
          </w:tcPr>
          <w:p>
            <w:r>
              <w:t>FR-040–045</w:t>
            </w:r>
          </w:p>
        </w:tc>
      </w:tr>
      <w:tr>
        <w:tc>
          <w:tcPr>
            <w:tcW w:type="dxa" w:w="4896"/>
          </w:tcPr>
          <w:p>
            <w:r>
              <w:t>Transformation engine</w:t>
            </w:r>
          </w:p>
        </w:tc>
        <w:tc>
          <w:tcPr>
            <w:tcW w:type="dxa" w:w="4896"/>
          </w:tcPr>
          <w:p>
            <w:r>
              <w:t>FR-030–037, FR-100–104</w:t>
            </w:r>
          </w:p>
        </w:tc>
      </w:tr>
      <w:tr>
        <w:tc>
          <w:tcPr>
            <w:tcW w:type="dxa" w:w="4896"/>
          </w:tcPr>
          <w:p>
            <w:r>
              <w:t>Metadata sanitizer</w:t>
            </w:r>
          </w:p>
        </w:tc>
        <w:tc>
          <w:tcPr>
            <w:tcW w:type="dxa" w:w="4896"/>
          </w:tcPr>
          <w:p>
            <w:r>
              <w:t>FR-090–093, SEC-009</w:t>
            </w:r>
          </w:p>
        </w:tc>
      </w:tr>
      <w:tr>
        <w:tc>
          <w:tcPr>
            <w:tcW w:type="dxa" w:w="4896"/>
          </w:tcPr>
          <w:p>
            <w:r>
              <w:t>Cached/passive paths</w:t>
            </w:r>
          </w:p>
        </w:tc>
        <w:tc>
          <w:tcPr>
            <w:tcW w:type="dxa" w:w="4896"/>
          </w:tcPr>
          <w:p>
            <w:r>
              <w:t>FR-070–072, SEC-007</w:t>
            </w:r>
          </w:p>
        </w:tc>
      </w:tr>
      <w:tr>
        <w:tc>
          <w:tcPr>
            <w:tcW w:type="dxa" w:w="4896"/>
          </w:tcPr>
          <w:p>
            <w:r>
              <w:t>Geofence path</w:t>
            </w:r>
          </w:p>
        </w:tc>
        <w:tc>
          <w:tcPr>
            <w:tcW w:type="dxa" w:w="4896"/>
          </w:tcPr>
          <w:p>
            <w:r>
              <w:t>FR-080–083</w:t>
            </w:r>
          </w:p>
        </w:tc>
      </w:tr>
      <w:tr>
        <w:tc>
          <w:tcPr>
            <w:tcW w:type="dxa" w:w="4896"/>
          </w:tcPr>
          <w:p>
            <w:r>
              <w:t>Audit</w:t>
            </w:r>
          </w:p>
        </w:tc>
        <w:tc>
          <w:tcPr>
            <w:tcW w:type="dxa" w:w="4896"/>
          </w:tcPr>
          <w:p>
            <w:r>
              <w:t>AUD-001–005, SEC-012</w:t>
            </w:r>
          </w:p>
        </w:tc>
      </w:tr>
      <w:tr>
        <w:tc>
          <w:tcPr>
            <w:tcW w:type="dxa" w:w="4896"/>
          </w:tcPr>
          <w:p>
            <w:r>
              <w:t>Local hot path</w:t>
            </w:r>
          </w:p>
        </w:tc>
        <w:tc>
          <w:tcPr>
            <w:tcW w:type="dxa" w:w="4896"/>
          </w:tcPr>
          <w:p>
            <w:r>
              <w:t>PERF-001–003</w:t>
            </w:r>
          </w:p>
        </w:tc>
      </w:tr>
      <w:tr>
        <w:tc>
          <w:tcPr>
            <w:tcW w:type="dxa" w:w="4896"/>
          </w:tcPr>
          <w:p>
            <w:r>
              <w:t>Version/GMS boundary</w:t>
            </w:r>
          </w:p>
        </w:tc>
        <w:tc>
          <w:tcPr>
            <w:tcW w:type="dxa" w:w="4896"/>
          </w:tcPr>
          <w:p>
            <w:r>
              <w:t>COMP-001–006</w:t>
            </w:r>
          </w:p>
        </w:tc>
      </w:tr>
    </w:tbl>
    <w:p>
      <w:pPr>
        <w:pStyle w:val="Heading1"/>
      </w:pPr>
      <w:r>
        <w:t>37. What This Architecture Does Not Freeze Yet</w:t>
      </w:r>
    </w:p>
    <w:p>
      <w:pPr>
        <w:pStyle w:val="ListBullet"/>
      </w:pPr>
      <w:r>
        <w:t>Exact AOSP source files/classes</w:t>
      </w:r>
    </w:p>
    <w:p>
      <w:pPr>
        <w:pStyle w:val="ListBullet"/>
      </w:pPr>
      <w:r>
        <w:t>Exact Android 14/15/16 differences</w:t>
      </w:r>
    </w:p>
    <w:p>
      <w:pPr>
        <w:pStyle w:val="ListBullet"/>
      </w:pPr>
      <w:r>
        <w:t>Exact Binder transaction names</w:t>
      </w:r>
    </w:p>
    <w:p>
      <w:pPr>
        <w:pStyle w:val="ListBullet"/>
      </w:pPr>
      <w:r>
        <w:t>Final AIDL serialization types</w:t>
      </w:r>
    </w:p>
    <w:p>
      <w:pPr>
        <w:pStyle w:val="ListBullet"/>
      </w:pPr>
      <w:r>
        <w:t>Exact persistent storage implementation</w:t>
      </w:r>
    </w:p>
    <w:p>
      <w:pPr>
        <w:pStyle w:val="ListBullet"/>
      </w:pPr>
      <w:r>
        <w:t>Exact transformation mathematics</w:t>
      </w:r>
    </w:p>
    <w:p>
      <w:pPr>
        <w:pStyle w:val="ListBullet"/>
      </w:pPr>
      <w:r>
        <w:t>Exact Wi-Fi/Bluetooth/cellular enforcement mechanism</w:t>
      </w:r>
    </w:p>
    <w:p>
      <w:pPr>
        <w:pStyle w:val="ListBullet"/>
      </w:pPr>
      <w:r>
        <w:t>Complete GMS implementation strategy</w:t>
      </w:r>
    </w:p>
    <w:p>
      <w:r>
        <w:rPr>
          <w:b w:val="0"/>
        </w:rPr>
        <w:t>These are deliberately deferred to the next implementation-facing documents.</w:t>
      </w:r>
    </w:p>
    <w:p>
      <w:pPr>
        <w:pStyle w:val="Heading1"/>
      </w:pPr>
      <w:r>
        <w:t>38. Next Architecture Artifact</w:t>
      </w:r>
    </w:p>
    <w:p>
      <w:r>
        <w:rPr>
          <w:b w:val="0"/>
        </w:rPr>
        <w:t>The next step is the API &amp; Enforcement Matrix, followed by exact Android 14/15/16 enforcement-path analysis. Those documents will map this logical architecture onto real Android APIs, Binder interfaces, system services, provider managers, and relevant framework source paths.</w:t>
      </w:r>
    </w:p>
    <w:p>
      <w:r>
        <w:rPr>
          <w:b w:val="0"/>
        </w:rPr>
        <w:t>Only after that mapping is complete should exact AIDL contracts and data structures be frozen.</w:t>
      </w:r>
    </w:p>
    <w:p>
      <w:pPr>
        <w:pStyle w:val="Heading1"/>
      </w:pPr>
      <w:r>
        <w:t>39.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Version</w:t>
            </w:r>
          </w:p>
        </w:tc>
        <w:tc>
          <w:tcPr>
            <w:tcW w:type="dxa" w:w="3264"/>
          </w:tcPr>
          <w:p>
            <w:r>
              <w:t>Date</w:t>
            </w:r>
          </w:p>
        </w:tc>
        <w:tc>
          <w:tcPr>
            <w:tcW w:type="dxa" w:w="3264"/>
          </w:tcPr>
          <w:p>
            <w:r>
              <w:t>Description</w:t>
            </w:r>
          </w:p>
        </w:tc>
      </w:tr>
      <w:tr>
        <w:tc>
          <w:tcPr>
            <w:tcW w:type="dxa" w:w="3264"/>
          </w:tcPr>
          <w:p>
            <w:r>
              <w:t>1.0</w:t>
            </w:r>
          </w:p>
        </w:tc>
        <w:tc>
          <w:tcPr>
            <w:tcW w:type="dxa" w:w="3264"/>
          </w:tcPr>
          <w:p>
            <w:r>
              <w:t>2026-09-26</w:t>
            </w:r>
          </w:p>
        </w:tc>
        <w:tc>
          <w:tcPr>
            <w:tcW w:type="dxa" w:w="3264"/>
          </w:tcPr>
          <w:p>
            <w:r>
              <w:t>Initial formal architecture specification based on Documents 01–06.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ALPF — Formal Architecture Specification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