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LOCSHIELD</w:t>
      </w:r>
    </w:p>
    <w:p>
      <w:pPr>
        <w:jc w:val="center"/>
      </w:pPr>
      <w:r>
        <w:rPr>
          <w:b/>
          <w:sz w:val="32"/>
        </w:rPr>
        <w:t>Document 10 — Android 14/15/16 Source-Level Enforcement Path Trace v1</w:t>
      </w:r>
    </w:p>
    <w:p>
      <w:pPr>
        <w:jc w:val="center"/>
      </w:pPr>
      <w:r>
        <w:t>Framework call-chain baseline • AOSP source trace • GMS boundary • candidate insertion points</w:t>
      </w:r>
    </w:p>
    <w:p>
      <w:pPr>
        <w:jc w:val="center"/>
      </w:pPr>
      <w:r>
        <w:t>Research baseline: September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LocShield — Per-Application Location Precision &amp; Privacy Control Framework for Android</w:t>
            </w:r>
          </w:p>
        </w:tc>
      </w:tr>
      <w:tr>
        <w:tc>
          <w:tcPr>
            <w:tcW w:type="dxa" w:w="4968"/>
          </w:tcPr>
          <w:p>
            <w:r>
              <w:t>Document</w:t>
            </w:r>
          </w:p>
        </w:tc>
        <w:tc>
          <w:tcPr>
            <w:tcW w:type="dxa" w:w="4968"/>
          </w:tcPr>
          <w:p>
            <w:r>
              <w:t>Android 14/15/16 Source-Level Enforcement Path Trace v1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t>Target</w:t>
            </w:r>
          </w:p>
        </w:tc>
        <w:tc>
          <w:tcPr>
            <w:tcW w:type="dxa" w:w="4968"/>
          </w:tcPr>
          <w:p>
            <w:r>
              <w:t>Android 14/API 34, Android 15/API 35, Android 16/API 36</w:t>
            </w:r>
          </w:p>
        </w:tc>
      </w:tr>
      <w:tr>
        <w:tc>
          <w:tcPr>
            <w:tcW w:type="dxa" w:w="4968"/>
          </w:tcPr>
          <w:p>
            <w:r>
              <w:t>Primary source</w:t>
            </w:r>
          </w:p>
        </w:tc>
        <w:tc>
          <w:tcPr>
            <w:tcW w:type="dxa" w:w="4968"/>
          </w:tcPr>
          <w:p>
            <w:r>
              <w:t>AOSP frameworks/base location services</w:t>
            </w:r>
          </w:p>
        </w:tc>
      </w:tr>
      <w:tr>
        <w:tc>
          <w:tcPr>
            <w:tcW w:type="dxa" w:w="4968"/>
          </w:tcPr>
          <w:p>
            <w:r>
              <w:t>Purpose</w:t>
            </w:r>
          </w:p>
        </w:tc>
        <w:tc>
          <w:tcPr>
            <w:tcW w:type="dxa" w:w="4968"/>
          </w:tcPr>
          <w:p>
            <w:r>
              <w:t>Trace application-facing location operations into system_server/provider paths and identify enforcement candidates.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Source-trace baseline; release-specific commit validation remains mandatory.</w:t>
            </w:r>
          </w:p>
        </w:tc>
      </w:tr>
    </w:tbl>
    <w:p>
      <w:pPr>
        <w:pStyle w:val="Heading1"/>
      </w:pPr>
      <w:r>
        <w:t>1. Research Conclusion</w:t>
      </w:r>
    </w:p>
    <w:p>
      <w:r>
        <w:rPr>
          <w:b w:val="0"/>
        </w:rPr>
        <w:t>The source trace confirms that LocShield should not be implemented as a normal APK that attempts to intercept other applications. The Android framework already has a privileged Binder-facing LocationManagerService that receives application location requests and maintains provider/listener management. Current AOSP source shows LocationManagerService implementing ILocationManager.Stub and containing provider managers, a passive manager, geofence manager, and GNSS-manager integration. citeturn0search7turn0search5</w:t>
      </w:r>
    </w:p>
    <w:p>
      <w:r>
        <w:rPr>
          <w:b w:val="0"/>
        </w:rPr>
        <w:t>The strongest first AOSP insertion point is therefore the system-server location service and its delivery infrastructure. This does not establish universal control over Google Play services or GNSS side channels; those remain separate boundaries.</w:t>
      </w:r>
    </w:p>
    <w:p>
      <w:pPr>
        <w:pStyle w:val="Heading1"/>
      </w:pPr>
      <w:r>
        <w:t>2. Trace Model</w:t>
      </w:r>
    </w:p>
    <w:p>
      <w:pPr>
        <w:ind w:left="288"/>
      </w:pPr>
      <w:r>
        <w:rPr>
          <w:rFonts w:ascii="Consolas" w:hAnsi="Consolas"/>
          <w:sz w:val="17"/>
        </w:rPr>
        <w:t>Application process</w:t>
        <w:br/>
        <w:t xml:space="preserve">      │</w:t>
        <w:br/>
        <w:t xml:space="preserve">      │ public SDK</w:t>
        <w:br/>
        <w:t xml:space="preserve">      ▼</w:t>
        <w:br/>
        <w:t>LocationManager / other client</w:t>
        <w:br/>
        <w:t xml:space="preserve">      │</w:t>
        <w:br/>
        <w:t xml:space="preserve">      │ Binder</w:t>
        <w:br/>
        <w:t xml:space="preserve">      ▼</w:t>
        <w:br/>
        <w:t>ILocationManager</w:t>
        <w:br/>
        <w:t xml:space="preserve">      │</w:t>
        <w:br/>
        <w:t xml:space="preserve">      ▼</w:t>
        <w:br/>
        <w:t>LocationManagerService</w:t>
        <w:br/>
        <w:t xml:space="preserve">      │</w:t>
        <w:br/>
        <w:t xml:space="preserve">      ├── CallerIdentity / permission / AppOps</w:t>
        <w:br/>
        <w:t xml:space="preserve">      ├── LocationRequest sanitization</w:t>
        <w:br/>
        <w:t xml:space="preserve">      ├── ProviderManager(s)</w:t>
        <w:br/>
        <w:t xml:space="preserve">      ├── PassiveLocationProviderManager</w:t>
        <w:br/>
        <w:t xml:space="preserve">      ├── GeofenceManager</w:t>
        <w:br/>
        <w:t xml:space="preserve">      └── GnssManagerService</w:t>
        <w:br/>
        <w:t xml:space="preserve">              │</w:t>
        <w:br/>
        <w:t xml:space="preserve">              ▼</w:t>
        <w:br/>
        <w:t xml:space="preserve">       provider / callback</w:t>
        <w:br/>
        <w:t xml:space="preserve">              │</w:t>
        <w:br/>
        <w:t xml:space="preserve">              ▼</w:t>
        <w:br/>
        <w:t xml:space="preserve">         Application</w:t>
      </w:r>
    </w:p>
    <w:p>
      <w:pPr>
        <w:pStyle w:val="Heading1"/>
      </w:pPr>
      <w:r>
        <w:t>3. Identity at the System Boundary</w:t>
      </w:r>
    </w:p>
    <w:p>
      <w:r>
        <w:rPr>
          <w:b w:val="0"/>
        </w:rPr>
        <w:t>The modern AOSP path constructs a CallerIdentity from Binder/application context and package, feature and listener identifiers, then enforces location permission. The source also validates the package against the calling UID in relevant paths. citeturn0search9turn0search11</w:t>
      </w:r>
    </w:p>
    <w:p>
      <w:r>
        <w:rPr>
          <w:b w:val="0"/>
        </w:rPr>
        <w:t>This is exactly the identity context LocShield needs: the policy decision should be based on trusted caller identity, not on an application-provided string alone.</w:t>
      </w:r>
    </w:p>
    <w:p>
      <w:pPr>
        <w:pStyle w:val="Heading1"/>
      </w:pPr>
      <w:r>
        <w:t>4. Continuous Location Request Trace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Stage</w:t>
            </w:r>
          </w:p>
        </w:tc>
        <w:tc>
          <w:tcPr>
            <w:tcW w:type="dxa" w:w="3312"/>
          </w:tcPr>
          <w:p>
            <w:r>
              <w:t>Observed AOSP element</w:t>
            </w:r>
          </w:p>
        </w:tc>
        <w:tc>
          <w:tcPr>
            <w:tcW w:type="dxa" w:w="3312"/>
          </w:tcPr>
          <w:p>
            <w:r>
              <w:t>LocShield relevance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LocationManager public API</w:t>
            </w:r>
          </w:p>
        </w:tc>
        <w:tc>
          <w:tcPr>
            <w:tcW w:type="dxa" w:w="3312"/>
          </w:tcPr>
          <w:p>
            <w:r>
              <w:t>Application entry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ILocationManager Binder interface</w:t>
            </w:r>
          </w:p>
        </w:tc>
        <w:tc>
          <w:tcPr>
            <w:tcW w:type="dxa" w:w="3312"/>
          </w:tcPr>
          <w:p>
            <w:r>
              <w:t>Cross-process security boundary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LocationManagerService.requestLocationUpdates(...)</w:t>
            </w:r>
          </w:p>
        </w:tc>
        <w:tc>
          <w:tcPr>
            <w:tcW w:type="dxa" w:w="3312"/>
          </w:tcPr>
          <w:p>
            <w:r>
              <w:t>Primary admission point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CallerIdentity / permission checks</w:t>
            </w:r>
          </w:p>
        </w:tc>
        <w:tc>
          <w:tcPr>
            <w:tcW w:type="dxa" w:w="3312"/>
          </w:tcPr>
          <w:p>
            <w:r>
              <w:t>Trusted identity + Android authorization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LocationRequest sanitization</w:t>
            </w:r>
          </w:p>
        </w:tc>
        <w:tc>
          <w:tcPr>
            <w:tcW w:type="dxa" w:w="3312"/>
          </w:tcPr>
          <w:p>
            <w:r>
              <w:t>Existing request normalization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Receiver / listener registration</w:t>
            </w:r>
          </w:p>
        </w:tc>
        <w:tc>
          <w:tcPr>
            <w:tcW w:type="dxa" w:w="3312"/>
          </w:tcPr>
          <w:p>
            <w:r>
              <w:t>Application delivery identity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LocationProviderManager(s)</w:t>
            </w:r>
          </w:p>
        </w:tc>
        <w:tc>
          <w:tcPr>
            <w:tcW w:type="dxa" w:w="3312"/>
          </w:tcPr>
          <w:p>
            <w:r>
              <w:t>Provider-side request management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Provider result</w:t>
            </w:r>
          </w:p>
        </w:tc>
        <w:tc>
          <w:tcPr>
            <w:tcW w:type="dxa" w:w="3312"/>
          </w:tcPr>
          <w:p>
            <w:r>
              <w:t>Sensitive location object</w:t>
            </w:r>
          </w:p>
        </w:tc>
      </w:tr>
      <w:tr>
        <w:tc>
          <w:tcPr>
            <w:tcW w:type="dxa" w:w="3312"/>
          </w:tcPr>
          <w:p>
            <w:r>
              <w:t>9</w:t>
            </w:r>
          </w:p>
        </w:tc>
        <w:tc>
          <w:tcPr>
            <w:tcW w:type="dxa" w:w="3312"/>
          </w:tcPr>
          <w:p>
            <w:r>
              <w:t>Listener/callback delivery</w:t>
            </w:r>
          </w:p>
        </w:tc>
        <w:tc>
          <w:tcPr>
            <w:tcW w:type="dxa" w:w="3312"/>
          </w:tcPr>
          <w:p>
            <w:r>
              <w:t>Primary transformation target</w:t>
            </w:r>
          </w:p>
        </w:tc>
      </w:tr>
    </w:tbl>
    <w:p>
      <w:r>
        <w:rPr>
          <w:b w:val="0"/>
        </w:rPr>
        <w:t>AOSP source explicitly shows requestLocationUpdates receiving a LocationRequest and listener/PendingIntent, checking caller/package context and then proceeding into provider management. citeturn0search0turn0search9</w:t>
      </w:r>
    </w:p>
    <w:p>
      <w:pPr>
        <w:pStyle w:val="Heading1"/>
      </w:pPr>
      <w:r>
        <w:t>5. Candidate Insertion Points for Continuous Updates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Point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Recommendation</w:t>
            </w:r>
          </w:p>
        </w:tc>
      </w:tr>
      <w:tr>
        <w:tc>
          <w:tcPr>
            <w:tcW w:type="dxa" w:w="3312"/>
          </w:tcPr>
          <w:p>
            <w:r>
              <w:t>P0 — requestLocationUpdates</w:t>
            </w:r>
          </w:p>
        </w:tc>
        <w:tc>
          <w:tcPr>
            <w:tcW w:type="dxa" w:w="3312"/>
          </w:tcPr>
          <w:p>
            <w:r>
              <w:t>Admission policy</w:t>
            </w:r>
          </w:p>
        </w:tc>
        <w:tc>
          <w:tcPr>
            <w:tcW w:type="dxa" w:w="3312"/>
          </w:tcPr>
          <w:p>
            <w:r>
              <w:t>Add policy context; do not rely on this alone.</w:t>
            </w:r>
          </w:p>
        </w:tc>
      </w:tr>
      <w:tr>
        <w:tc>
          <w:tcPr>
            <w:tcW w:type="dxa" w:w="3312"/>
          </w:tcPr>
          <w:p>
            <w:r>
              <w:t>P1 — request sanitization</w:t>
            </w:r>
          </w:p>
        </w:tc>
        <w:tc>
          <w:tcPr>
            <w:tcW w:type="dxa" w:w="3312"/>
          </w:tcPr>
          <w:p>
            <w:r>
              <w:t>Restrict requested interval/provider parameters</w:t>
            </w:r>
          </w:p>
        </w:tc>
        <w:tc>
          <w:tcPr>
            <w:tcW w:type="dxa" w:w="3312"/>
          </w:tcPr>
          <w:p>
            <w:r>
              <w:t>Useful for temporal policy.</w:t>
            </w:r>
          </w:p>
        </w:tc>
      </w:tr>
      <w:tr>
        <w:tc>
          <w:tcPr>
            <w:tcW w:type="dxa" w:w="3312"/>
          </w:tcPr>
          <w:p>
            <w:r>
              <w:t>P2 — receiver/provider registration</w:t>
            </w:r>
          </w:p>
        </w:tc>
        <w:tc>
          <w:tcPr>
            <w:tcW w:type="dxa" w:w="3312"/>
          </w:tcPr>
          <w:p>
            <w:r>
              <w:t>Attach effective LocShield policy to receiver</w:t>
            </w:r>
          </w:p>
        </w:tc>
        <w:tc>
          <w:tcPr>
            <w:tcW w:type="dxa" w:w="3312"/>
          </w:tcPr>
          <w:p>
            <w:r>
              <w:t>Strong candidate.</w:t>
            </w:r>
          </w:p>
        </w:tc>
      </w:tr>
      <w:tr>
        <w:tc>
          <w:tcPr>
            <w:tcW w:type="dxa" w:w="3312"/>
          </w:tcPr>
          <w:p>
            <w:r>
              <w:t>P3 — provider-manager delivery</w:t>
            </w:r>
          </w:p>
        </w:tc>
        <w:tc>
          <w:tcPr>
            <w:tcW w:type="dxa" w:w="3312"/>
          </w:tcPr>
          <w:p>
            <w:r>
              <w:t>Transform each outgoing Location</w:t>
            </w:r>
          </w:p>
        </w:tc>
        <w:tc>
          <w:tcPr>
            <w:tcW w:type="dxa" w:w="3312"/>
          </w:tcPr>
          <w:p>
            <w:r>
              <w:t>Primary candidate.</w:t>
            </w:r>
          </w:p>
        </w:tc>
      </w:tr>
      <w:tr>
        <w:tc>
          <w:tcPr>
            <w:tcW w:type="dxa" w:w="3312"/>
          </w:tcPr>
          <w:p>
            <w:r>
              <w:t>P4 — listener/PendingIntent delivery</w:t>
            </w:r>
          </w:p>
        </w:tc>
        <w:tc>
          <w:tcPr>
            <w:tcW w:type="dxa" w:w="3312"/>
          </w:tcPr>
          <w:p>
            <w:r>
              <w:t>Final app-facing gate</w:t>
            </w:r>
          </w:p>
        </w:tc>
        <w:tc>
          <w:tcPr>
            <w:tcW w:type="dxa" w:w="3312"/>
          </w:tcPr>
          <w:p>
            <w:r>
              <w:t>Strong defense-in-depth candidate.</w:t>
            </w:r>
          </w:p>
        </w:tc>
      </w:tr>
    </w:tbl>
    <w:p>
      <w:r>
        <w:rPr>
          <w:b w:val="0"/>
        </w:rPr>
        <w:t>The architecture should prefer a common delivery gate so that a policy change can affect subsequent results without requiring the application to re-register.</w:t>
      </w:r>
    </w:p>
    <w:p>
      <w:pPr>
        <w:pStyle w:val="Heading1"/>
      </w:pPr>
      <w:r>
        <w:t>6. Why Delivery-Time Enforcement Matters</w:t>
      </w:r>
    </w:p>
    <w:p>
      <w:pPr>
        <w:ind w:left="288"/>
      </w:pPr>
      <w:r>
        <w:rPr>
          <w:rFonts w:ascii="Consolas" w:hAnsi="Consolas"/>
          <w:sz w:val="17"/>
        </w:rPr>
        <w:t>Policy:</w:t>
        <w:br/>
        <w:t>Maps → EXACT</w:t>
        <w:br/>
        <w:br/>
        <w:t>App registers request</w:t>
        <w:br/>
        <w:t xml:space="preserve">        ↓</w:t>
        <w:br/>
        <w:t>Provider produces location</w:t>
        <w:br/>
        <w:t xml:space="preserve">        ↓</w:t>
        <w:br/>
        <w:t>Policy changes:</w:t>
        <w:br/>
        <w:t>Maps → CITY</w:t>
        <w:br/>
        <w:t xml:space="preserve">        ↓</w:t>
        <w:br/>
        <w:t>Next delivery</w:t>
        <w:br/>
        <w:t xml:space="preserve">        ↓</w:t>
        <w:br/>
        <w:t>CITY result</w:t>
        <w:br/>
        <w:br/>
        <w:t>Required:</w:t>
        <w:br/>
        <w:t>current effective policy evaluated at delivery.</w:t>
      </w:r>
    </w:p>
    <w:p>
      <w:r>
        <w:rPr>
          <w:b w:val="0"/>
        </w:rPr>
        <w:t>This is stronger than storing the policy only at registration time.</w:t>
      </w:r>
    </w:p>
    <w:p>
      <w:pPr>
        <w:pStyle w:val="Heading1"/>
      </w:pPr>
      <w:r>
        <w:t>7. LocationRequest Sanitization Is Not the Same as LocShield</w:t>
      </w:r>
    </w:p>
    <w:p>
      <w:r>
        <w:rPr>
          <w:b w:val="0"/>
        </w:rPr>
        <w:t>AOSP already sanitizes location requests according to the caller's allowed resolution level. Source traces show createSanitizedRequest and caller-resolution checks in the framework. citeturn0search0turn0search14</w:t>
      </w:r>
    </w:p>
    <w:p>
      <w:r>
        <w:rPr>
          <w:b w:val="0"/>
        </w:rPr>
        <w:t>That mechanism is useful but insufficient for LocShield because the project requires user-defined policy dimensions such as city/neighborhood/approximate radius and frequency. LocShield should therefore augment rather than replace Android's authorization and sanitization model.</w:t>
      </w:r>
    </w:p>
    <w:p>
      <w:pPr>
        <w:pStyle w:val="Heading1"/>
      </w:pPr>
      <w:r>
        <w:t>8. Last-Known Location Trace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Stage</w:t>
            </w:r>
          </w:p>
        </w:tc>
        <w:tc>
          <w:tcPr>
            <w:tcW w:type="dxa" w:w="4968"/>
          </w:tcPr>
          <w:p>
            <w:r>
              <w:t>Research requirement</w:t>
            </w:r>
          </w:p>
        </w:tc>
      </w:tr>
      <w:tr>
        <w:tc>
          <w:tcPr>
            <w:tcW w:type="dxa" w:w="4968"/>
          </w:tcPr>
          <w:p>
            <w:r>
              <w:t>Application request</w:t>
            </w:r>
          </w:p>
        </w:tc>
        <w:tc>
          <w:tcPr>
            <w:tcW w:type="dxa" w:w="4968"/>
          </w:tcPr>
          <w:p>
            <w:r>
              <w:t>Identify framework/GMS entry</w:t>
            </w:r>
          </w:p>
        </w:tc>
      </w:tr>
      <w:tr>
        <w:tc>
          <w:tcPr>
            <w:tcW w:type="dxa" w:w="4968"/>
          </w:tcPr>
          <w:p>
            <w:r>
              <w:t>Caller identity</w:t>
            </w:r>
          </w:p>
        </w:tc>
        <w:tc>
          <w:tcPr>
            <w:tcW w:type="dxa" w:w="4968"/>
          </w:tcPr>
          <w:p>
            <w:r>
              <w:t>Determine current UID/package/attribution</w:t>
            </w:r>
          </w:p>
        </w:tc>
      </w:tr>
      <w:tr>
        <w:tc>
          <w:tcPr>
            <w:tcW w:type="dxa" w:w="4968"/>
          </w:tcPr>
          <w:p>
            <w:r>
              <w:t>Cache lookup</w:t>
            </w:r>
          </w:p>
        </w:tc>
        <w:tc>
          <w:tcPr>
            <w:tcW w:type="dxa" w:w="4968"/>
          </w:tcPr>
          <w:p>
            <w:r>
              <w:t>Locate exact storage/read path</w:t>
            </w:r>
          </w:p>
        </w:tc>
      </w:tr>
      <w:tr>
        <w:tc>
          <w:tcPr>
            <w:tcW w:type="dxa" w:w="4968"/>
          </w:tcPr>
          <w:p>
            <w:r>
              <w:t>Policy check</w:t>
            </w:r>
          </w:p>
        </w:tc>
        <w:tc>
          <w:tcPr>
            <w:tcW w:type="dxa" w:w="4968"/>
          </w:tcPr>
          <w:p>
            <w:r>
              <w:t>Apply current policy</w:t>
            </w:r>
          </w:p>
        </w:tc>
      </w:tr>
      <w:tr>
        <w:tc>
          <w:tcPr>
            <w:tcW w:type="dxa" w:w="4968"/>
          </w:tcPr>
          <w:p>
            <w:r>
              <w:t>Transformation</w:t>
            </w:r>
          </w:p>
        </w:tc>
        <w:tc>
          <w:tcPr>
            <w:tcW w:type="dxa" w:w="4968"/>
          </w:tcPr>
          <w:p>
            <w:r>
              <w:t>Reduce precision if allowed</w:t>
            </w:r>
          </w:p>
        </w:tc>
      </w:tr>
      <w:tr>
        <w:tc>
          <w:tcPr>
            <w:tcW w:type="dxa" w:w="4968"/>
          </w:tcPr>
          <w:p>
            <w:r>
              <w:t>Metadata</w:t>
            </w:r>
          </w:p>
        </w:tc>
        <w:tc>
          <w:tcPr>
            <w:tcW w:type="dxa" w:w="4968"/>
          </w:tcPr>
          <w:p>
            <w:r>
              <w:t>Sanitize accuracy/timestamp/provider fields</w:t>
            </w:r>
          </w:p>
        </w:tc>
      </w:tr>
      <w:tr>
        <w:tc>
          <w:tcPr>
            <w:tcW w:type="dxa" w:w="4968"/>
          </w:tcPr>
          <w:p>
            <w:r>
              <w:t>Return</w:t>
            </w:r>
          </w:p>
        </w:tc>
        <w:tc>
          <w:tcPr>
            <w:tcW w:type="dxa" w:w="4968"/>
          </w:tcPr>
          <w:p>
            <w:r>
              <w:t>Ensure no raw cached object bypasses policy</w:t>
            </w:r>
          </w:p>
        </w:tc>
      </w:tr>
    </w:tbl>
    <w:p>
      <w:r>
        <w:rPr>
          <w:b w:val="0"/>
        </w:rPr>
        <w:t>The GMS public client exposes getLastLocation(), so the framework trace cannot be treated as exhaustive until GMS behavior is separately tested.</w:t>
      </w:r>
    </w:p>
    <w:p>
      <w:pPr>
        <w:pStyle w:val="Heading1"/>
      </w:pPr>
      <w:r>
        <w:t>9. Passive Location Trace</w:t>
      </w:r>
    </w:p>
    <w:p>
      <w:r>
        <w:rPr>
          <w:b w:val="0"/>
        </w:rPr>
        <w:t>Current AOSP LocationManagerService contains a PassiveLocationProviderManager. citeturn0search5turn0search19</w:t>
      </w:r>
    </w:p>
    <w:p>
      <w:pPr>
        <w:ind w:left="288"/>
      </w:pPr>
      <w:r>
        <w:rPr>
          <w:rFonts w:ascii="Consolas" w:hAnsi="Consolas"/>
          <w:sz w:val="17"/>
        </w:rPr>
        <w:t>Other location client</w:t>
        <w:br/>
        <w:t xml:space="preserve">       ↓</w:t>
        <w:br/>
        <w:t>provider update</w:t>
        <w:br/>
        <w:t xml:space="preserve">       ↓</w:t>
        <w:br/>
        <w:t>Passive manager</w:t>
        <w:br/>
        <w:t xml:space="preserve">       ↓</w:t>
        <w:br/>
        <w:t>passive receiver</w:t>
        <w:br/>
        <w:t xml:space="preserve">       ↓</w:t>
        <w:br/>
        <w:t>target app</w:t>
      </w:r>
    </w:p>
    <w:p>
      <w:r>
        <w:rPr>
          <w:b w:val="0"/>
        </w:rPr>
        <w:t>LocShield must attach policy at the passive receiver/delivery boundary. Otherwise a policy could be bypassed by registering for passive updates instead of active updates.</w:t>
      </w:r>
    </w:p>
    <w:p>
      <w:pPr>
        <w:pStyle w:val="Heading1"/>
      </w:pPr>
      <w:r>
        <w:t>10. Geofence Trace</w:t>
      </w:r>
    </w:p>
    <w:p>
      <w:r>
        <w:rPr>
          <w:b w:val="0"/>
        </w:rPr>
        <w:t>Current AOSP LocationManagerService owns a GeofenceManager. citeturn0search5turn0search19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Stage</w:t>
            </w:r>
          </w:p>
        </w:tc>
        <w:tc>
          <w:tcPr>
            <w:tcW w:type="dxa" w:w="4968"/>
          </w:tcPr>
          <w:p>
            <w:r>
              <w:t>LocShield point</w:t>
            </w:r>
          </w:p>
        </w:tc>
      </w:tr>
      <w:tr>
        <w:tc>
          <w:tcPr>
            <w:tcW w:type="dxa" w:w="4968"/>
          </w:tcPr>
          <w:p>
            <w:r>
              <w:t>Registration request</w:t>
            </w:r>
          </w:p>
        </w:tc>
        <w:tc>
          <w:tcPr>
            <w:tcW w:type="dxa" w:w="4968"/>
          </w:tcPr>
          <w:p>
            <w:r>
              <w:t>Admission policy</w:t>
            </w:r>
          </w:p>
        </w:tc>
      </w:tr>
      <w:tr>
        <w:tc>
          <w:tcPr>
            <w:tcW w:type="dxa" w:w="4968"/>
          </w:tcPr>
          <w:p>
            <w:r>
              <w:t>Geofence storage/state</w:t>
            </w:r>
          </w:p>
        </w:tc>
        <w:tc>
          <w:tcPr>
            <w:tcW w:type="dxa" w:w="4968"/>
          </w:tcPr>
          <w:p>
            <w:r>
              <w:t>Persist policy association</w:t>
            </w:r>
          </w:p>
        </w:tc>
      </w:tr>
      <w:tr>
        <w:tc>
          <w:tcPr>
            <w:tcW w:type="dxa" w:w="4968"/>
          </w:tcPr>
          <w:p>
            <w:r>
              <w:t>Location evaluation</w:t>
            </w:r>
          </w:p>
        </w:tc>
        <w:tc>
          <w:tcPr>
            <w:tcW w:type="dxa" w:w="4968"/>
          </w:tcPr>
          <w:p>
            <w:r>
              <w:t>Potentially framework/provider dependent</w:t>
            </w:r>
          </w:p>
        </w:tc>
      </w:tr>
      <w:tr>
        <w:tc>
          <w:tcPr>
            <w:tcW w:type="dxa" w:w="4968"/>
          </w:tcPr>
          <w:p>
            <w:r>
              <w:t>Transition event</w:t>
            </w:r>
          </w:p>
        </w:tc>
        <w:tc>
          <w:tcPr>
            <w:tcW w:type="dxa" w:w="4968"/>
          </w:tcPr>
          <w:p>
            <w:r>
              <w:t>Delivery policy</w:t>
            </w:r>
          </w:p>
        </w:tc>
      </w:tr>
      <w:tr>
        <w:tc>
          <w:tcPr>
            <w:tcW w:type="dxa" w:w="4968"/>
          </w:tcPr>
          <w:p>
            <w:r>
              <w:t>PendingIntent/callback</w:t>
            </w:r>
          </w:p>
        </w:tc>
        <w:tc>
          <w:tcPr>
            <w:tcW w:type="dxa" w:w="4968"/>
          </w:tcPr>
          <w:p>
            <w:r>
              <w:t>Final app-facing gate</w:t>
            </w:r>
          </w:p>
        </w:tc>
      </w:tr>
    </w:tbl>
    <w:p>
      <w:r>
        <w:rPr>
          <w:b w:val="0"/>
        </w:rPr>
        <w:t>A geofence event is itself sensitive because its occurrence can disclose that the device entered or exited a geographic region.</w:t>
      </w:r>
    </w:p>
    <w:p>
      <w:pPr>
        <w:pStyle w:val="Heading1"/>
      </w:pPr>
      <w:r>
        <w:t>11. GNSS Trace</w:t>
      </w:r>
    </w:p>
    <w:p>
      <w:r>
        <w:rPr>
          <w:b w:val="0"/>
        </w:rPr>
        <w:t>The current AOSP location service integrates GnssManagerService, while GNSS-specific providers are separated into their own subsystem. citeturn0search5turn0search10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GNSS capability</w:t>
            </w:r>
          </w:p>
        </w:tc>
        <w:tc>
          <w:tcPr>
            <w:tcW w:type="dxa" w:w="3312"/>
          </w:tcPr>
          <w:p>
            <w:r>
              <w:t>Likely boundary</w:t>
            </w:r>
          </w:p>
        </w:tc>
        <w:tc>
          <w:tcPr>
            <w:tcW w:type="dxa" w:w="3312"/>
          </w:tcPr>
          <w:p>
            <w:r>
              <w:t>LocShield status</w:t>
            </w:r>
          </w:p>
        </w:tc>
      </w:tr>
      <w:tr>
        <w:tc>
          <w:tcPr>
            <w:tcW w:type="dxa" w:w="3312"/>
          </w:tcPr>
          <w:p>
            <w:r>
              <w:t>GNSS-derived Location</w:t>
            </w:r>
          </w:p>
        </w:tc>
        <w:tc>
          <w:tcPr>
            <w:tcW w:type="dxa" w:w="3312"/>
          </w:tcPr>
          <w:p>
            <w:r>
              <w:t>Normal location delivery</w:t>
            </w:r>
          </w:p>
        </w:tc>
        <w:tc>
          <w:tcPr>
            <w:tcW w:type="dxa" w:w="3312"/>
          </w:tcPr>
          <w:p>
            <w:r>
              <w:t>Candidate E0/E1</w:t>
            </w:r>
          </w:p>
        </w:tc>
      </w:tr>
      <w:tr>
        <w:tc>
          <w:tcPr>
            <w:tcW w:type="dxa" w:w="3312"/>
          </w:tcPr>
          <w:p>
            <w:r>
              <w:t>GnssStatus</w:t>
            </w:r>
          </w:p>
        </w:tc>
        <w:tc>
          <w:tcPr>
            <w:tcW w:type="dxa" w:w="3312"/>
          </w:tcPr>
          <w:p>
            <w:r>
              <w:t>GNSS subsystem</w:t>
            </w:r>
          </w:p>
        </w:tc>
        <w:tc>
          <w:tcPr>
            <w:tcW w:type="dxa" w:w="3312"/>
          </w:tcPr>
          <w:p>
            <w:r>
              <w:t>Separate side-channel</w:t>
            </w:r>
          </w:p>
        </w:tc>
      </w:tr>
      <w:tr>
        <w:tc>
          <w:tcPr>
            <w:tcW w:type="dxa" w:w="3312"/>
          </w:tcPr>
          <w:p>
            <w:r>
              <w:t>GnssMeasurements</w:t>
            </w:r>
          </w:p>
        </w:tc>
        <w:tc>
          <w:tcPr>
            <w:tcW w:type="dxa" w:w="3312"/>
          </w:tcPr>
          <w:p>
            <w:r>
              <w:t>GNSS subsystem</w:t>
            </w:r>
          </w:p>
        </w:tc>
        <w:tc>
          <w:tcPr>
            <w:tcW w:type="dxa" w:w="3312"/>
          </w:tcPr>
          <w:p>
            <w:r>
              <w:t>Separate side-channel</w:t>
            </w:r>
          </w:p>
        </w:tc>
      </w:tr>
      <w:tr>
        <w:tc>
          <w:tcPr>
            <w:tcW w:type="dxa" w:w="3312"/>
          </w:tcPr>
          <w:p>
            <w:r>
              <w:t>GnssNavigationMessage</w:t>
            </w:r>
          </w:p>
        </w:tc>
        <w:tc>
          <w:tcPr>
            <w:tcW w:type="dxa" w:w="3312"/>
          </w:tcPr>
          <w:p>
            <w:r>
              <w:t>GNSS subsystem</w:t>
            </w:r>
          </w:p>
        </w:tc>
        <w:tc>
          <w:tcPr>
            <w:tcW w:type="dxa" w:w="3312"/>
          </w:tcPr>
          <w:p>
            <w:r>
              <w:t>Separate side-channel</w:t>
            </w:r>
          </w:p>
        </w:tc>
      </w:tr>
      <w:tr>
        <w:tc>
          <w:tcPr>
            <w:tcW w:type="dxa" w:w="3312"/>
          </w:tcPr>
          <w:p>
            <w:r>
              <w:t>NMEA</w:t>
            </w:r>
          </w:p>
        </w:tc>
        <w:tc>
          <w:tcPr>
            <w:tcW w:type="dxa" w:w="3312"/>
          </w:tcPr>
          <w:p>
            <w:r>
              <w:t>GNSS subsystem</w:t>
            </w:r>
          </w:p>
        </w:tc>
        <w:tc>
          <w:tcPr>
            <w:tcW w:type="dxa" w:w="3312"/>
          </w:tcPr>
          <w:p>
            <w:r>
              <w:t>Separate side-channel</w:t>
            </w:r>
          </w:p>
        </w:tc>
      </w:tr>
      <w:tr>
        <w:tc>
          <w:tcPr>
            <w:tcW w:type="dxa" w:w="3312"/>
          </w:tcPr>
          <w:p>
            <w:r>
              <w:t>GNSS geofence</w:t>
            </w:r>
          </w:p>
        </w:tc>
        <w:tc>
          <w:tcPr>
            <w:tcW w:type="dxa" w:w="3312"/>
          </w:tcPr>
          <w:p>
            <w:r>
              <w:t>GNSS/framework boundary</w:t>
            </w:r>
          </w:p>
        </w:tc>
        <w:tc>
          <w:tcPr>
            <w:tcW w:type="dxa" w:w="3312"/>
          </w:tcPr>
          <w:p>
            <w:r>
              <w:t>Separate trace</w:t>
            </w:r>
          </w:p>
        </w:tc>
      </w:tr>
    </w:tbl>
    <w:p>
      <w:r>
        <w:rPr>
          <w:b w:val="0"/>
        </w:rPr>
        <w:t>Therefore a complete LocShield security claim requires either explicit controls for these channels or a clearly stated limitation.</w:t>
      </w:r>
    </w:p>
    <w:p>
      <w:pPr>
        <w:pStyle w:val="Heading1"/>
      </w:pPr>
      <w:r>
        <w:t>12. Fused Provider Boundary</w:t>
      </w:r>
    </w:p>
    <w:p>
      <w:r>
        <w:rPr>
          <w:b w:val="0"/>
        </w:rPr>
        <w:t>AOSP includes a platform fused-location package and LocationManagerService binds to a fused location service through the Android location-provider service interface. The AOSP manifest identifies FusedLocationService as a non-exported service with a WRITE_SECURE_SETTINGS permission and identifies a GNSS overlay service. citeturn0search12</w:t>
      </w:r>
    </w:p>
    <w:p>
      <w:r>
        <w:rPr>
          <w:b w:val="0"/>
        </w:rPr>
        <w:t>This is useful because it shows that 'fused location' is not conceptually identical to Google Play services' FusedLocationProviderClient. There can be an AOSP platform fused-provider path and a GMS path.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Fused source</w:t>
            </w:r>
          </w:p>
        </w:tc>
        <w:tc>
          <w:tcPr>
            <w:tcW w:type="dxa" w:w="4968"/>
          </w:tcPr>
          <w:p>
            <w:r>
              <w:t>LocShield conclusion</w:t>
            </w:r>
          </w:p>
        </w:tc>
      </w:tr>
      <w:tr>
        <w:tc>
          <w:tcPr>
            <w:tcW w:type="dxa" w:w="4968"/>
          </w:tcPr>
          <w:p>
            <w:r>
              <w:t>AOSP/platform fused service</w:t>
            </w:r>
          </w:p>
        </w:tc>
        <w:tc>
          <w:tcPr>
            <w:tcW w:type="dxa" w:w="4968"/>
          </w:tcPr>
          <w:p>
            <w:r>
              <w:t>Potentially inside AOSP enforcement architecture</w:t>
            </w:r>
          </w:p>
        </w:tc>
      </w:tr>
      <w:tr>
        <w:tc>
          <w:tcPr>
            <w:tcW w:type="dxa" w:w="4968"/>
          </w:tcPr>
          <w:p>
            <w:r>
              <w:t>Google Play services fused client</w:t>
            </w:r>
          </w:p>
        </w:tc>
        <w:tc>
          <w:tcPr>
            <w:tcW w:type="dxa" w:w="4968"/>
          </w:tcPr>
          <w:p>
            <w:r>
              <w:t>Separate trust boundary; must be tested</w:t>
            </w:r>
          </w:p>
        </w:tc>
      </w:tr>
      <w:tr>
        <w:tc>
          <w:tcPr>
            <w:tcW w:type="dxa" w:w="4968"/>
          </w:tcPr>
          <w:p>
            <w:r>
              <w:t>Provider result delivered through framework</w:t>
            </w:r>
          </w:p>
        </w:tc>
        <w:tc>
          <w:tcPr>
            <w:tcW w:type="dxa" w:w="4968"/>
          </w:tcPr>
          <w:p>
            <w:r>
              <w:t>Candidate final delivery gate</w:t>
            </w:r>
          </w:p>
        </w:tc>
      </w:tr>
      <w:tr>
        <w:tc>
          <w:tcPr>
            <w:tcW w:type="dxa" w:w="4968"/>
          </w:tcPr>
          <w:p>
            <w:r>
              <w:t>GMS internal processing</w:t>
            </w:r>
          </w:p>
        </w:tc>
        <w:tc>
          <w:tcPr>
            <w:tcW w:type="dxa" w:w="4968"/>
          </w:tcPr>
          <w:p>
            <w:r>
              <w:t>Not assumed controllable by AOSP modification</w:t>
            </w:r>
          </w:p>
        </w:tc>
      </w:tr>
    </w:tbl>
    <w:p>
      <w:pPr>
        <w:pStyle w:val="Heading1"/>
      </w:pPr>
      <w:r>
        <w:t>13. AOSP vs GMS Boundary</w:t>
      </w:r>
    </w:p>
    <w:p>
      <w:pPr>
        <w:ind w:left="288"/>
      </w:pPr>
      <w:r>
        <w:rPr>
          <w:rFonts w:ascii="Consolas" w:hAnsi="Consolas"/>
          <w:sz w:val="17"/>
        </w:rPr>
        <w:t xml:space="preserve">                APPLICATION</w:t>
        <w:br/>
        <w:t xml:space="preserve">                   │</w:t>
        <w:br/>
        <w:t xml:space="preserve">          ┌────────┴────────┐</w:t>
        <w:br/>
        <w:t xml:space="preserve">          │                 │</w:t>
        <w:br/>
        <w:t xml:space="preserve">   Android framework     GMS client</w:t>
        <w:br/>
        <w:t xml:space="preserve">          │                 │</w:t>
        <w:br/>
        <w:t xml:space="preserve">          ▼                 ▼</w:t>
        <w:br/>
        <w:t xml:space="preserve"> LocationManagerService   Play Services</w:t>
        <w:br/>
        <w:t xml:space="preserve">          │                 │</w:t>
        <w:br/>
        <w:t xml:space="preserve">          ▼                 ▼</w:t>
        <w:br/>
        <w:t xml:space="preserve">   AOSP providers       GMS implementation</w:t>
        <w:br/>
        <w:t xml:space="preserve">          │                 │</w:t>
        <w:br/>
        <w:t xml:space="preserve">          └───────?─────────┘</w:t>
        <w:br/>
        <w:t xml:space="preserve">             delivery boundary</w:t>
        <w:br/>
      </w:r>
    </w:p>
    <w:p>
      <w:r>
        <w:rPr>
          <w:b w:val="0"/>
        </w:rPr>
        <w:t>The question mark is intentional: the next experiment must determine whether a selected GMS path eventually crosses a LocShield-controlled framework delivery boundary or remains entirely outside it.</w:t>
      </w:r>
    </w:p>
    <w:p>
      <w:pPr>
        <w:pStyle w:val="Heading1"/>
      </w:pPr>
      <w:r>
        <w:t>14. Android 14 / 15 / 16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Release</w:t>
            </w:r>
          </w:p>
        </w:tc>
        <w:tc>
          <w:tcPr>
            <w:tcW w:type="dxa" w:w="4968"/>
          </w:tcPr>
          <w:p>
            <w:r>
              <w:t>Trace objective</w:t>
            </w:r>
          </w:p>
        </w:tc>
      </w:tr>
      <w:tr>
        <w:tc>
          <w:tcPr>
            <w:tcW w:type="dxa" w:w="4968"/>
          </w:tcPr>
          <w:p>
            <w:r>
              <w:t>Android 14 / API 34</w:t>
            </w:r>
          </w:p>
        </w:tc>
        <w:tc>
          <w:tcPr>
            <w:tcW w:type="dxa" w:w="4968"/>
          </w:tcPr>
          <w:p>
            <w:r>
              <w:t>Freeze baseline call graph and prototype target.</w:t>
            </w:r>
          </w:p>
        </w:tc>
      </w:tr>
      <w:tr>
        <w:tc>
          <w:tcPr>
            <w:tcW w:type="dxa" w:w="4968"/>
          </w:tcPr>
          <w:p>
            <w:r>
              <w:t>Android 15 / API 35</w:t>
            </w:r>
          </w:p>
        </w:tc>
        <w:tc>
          <w:tcPr>
            <w:tcW w:type="dxa" w:w="4968"/>
          </w:tcPr>
          <w:p>
            <w:r>
              <w:t>Diff LocationManagerService/provider/listener/geofence/GNSS paths against 14.</w:t>
            </w:r>
          </w:p>
        </w:tc>
      </w:tr>
      <w:tr>
        <w:tc>
          <w:tcPr>
            <w:tcW w:type="dxa" w:w="4968"/>
          </w:tcPr>
          <w:p>
            <w:r>
              <w:t>Android 16 / API 36</w:t>
            </w:r>
          </w:p>
        </w:tc>
        <w:tc>
          <w:tcPr>
            <w:tcW w:type="dxa" w:w="4968"/>
          </w:tcPr>
          <w:p>
            <w:r>
              <w:t>Repeat diff and verify changed permission/privacy/provider behavior.</w:t>
            </w:r>
          </w:p>
        </w:tc>
      </w:tr>
    </w:tbl>
    <w:p>
      <w:r>
        <w:rPr>
          <w:b w:val="0"/>
        </w:rPr>
        <w:t>The public architecture appears continuous across current AOSP branches, but LocShield must record exact source revisions for every implementation claim. Current AOSP main continues to expose LocationManagerService and its provider/passive/geofence/GNSS components. citeturn0search7turn0search5</w:t>
      </w:r>
    </w:p>
    <w:p>
      <w:pPr>
        <w:pStyle w:val="Heading1"/>
      </w:pPr>
      <w:r>
        <w:t>15. Proposed LocShield System-Service Placement</w:t>
      </w:r>
    </w:p>
    <w:p>
      <w:pPr>
        <w:ind w:left="288"/>
      </w:pPr>
      <w:r>
        <w:rPr>
          <w:rFonts w:ascii="Consolas" w:hAnsi="Consolas"/>
          <w:sz w:val="17"/>
        </w:rPr>
        <w:t>system_server</w:t>
        <w:br/>
        <w:t>└── com.android.server.location</w:t>
        <w:br/>
        <w:t xml:space="preserve">    ├── LocationManagerService</w:t>
        <w:br/>
        <w:t xml:space="preserve">    ├── locshield/</w:t>
        <w:br/>
        <w:t xml:space="preserve">    │   ├── LocShieldManagerService</w:t>
        <w:br/>
        <w:t xml:space="preserve">    │   ├── PolicyEngine</w:t>
        <w:br/>
        <w:t xml:space="preserve">    │   ├── PolicyStore</w:t>
        <w:br/>
        <w:t xml:space="preserve">    │   ├── IdentityResolver</w:t>
        <w:br/>
        <w:t xml:space="preserve">    │   ├── TemporalController</w:t>
        <w:br/>
        <w:t xml:space="preserve">    │   ├── TransformationEngine</w:t>
        <w:br/>
        <w:t xml:space="preserve">    │   └── MetadataSanitizer</w:t>
        <w:br/>
        <w:t xml:space="preserve">    ├── provider/</w:t>
        <w:br/>
        <w:t xml:space="preserve">    ├── listeners/</w:t>
        <w:br/>
        <w:t xml:space="preserve">    ├── geofence/</w:t>
        <w:br/>
        <w:t xml:space="preserve">    └── gnss/</w:t>
      </w:r>
    </w:p>
    <w:p>
      <w:r>
        <w:rPr>
          <w:b w:val="0"/>
        </w:rPr>
        <w:t>This is an architecture proposal, not yet a source-tree commit plan.</w:t>
      </w:r>
    </w:p>
    <w:p>
      <w:pPr>
        <w:pStyle w:val="Heading1"/>
      </w:pPr>
      <w:r>
        <w:t>16. LocShield Enforcement Adapter</w:t>
      </w:r>
    </w:p>
    <w:p>
      <w:r>
        <w:rPr>
          <w:b w:val="0"/>
        </w:rPr>
        <w:t>The cleanest implementation boundary is an adapter between Android's location delivery objects and the LocShield policy engine.</w:t>
      </w:r>
    </w:p>
    <w:p>
      <w:pPr>
        <w:ind w:left="288"/>
      </w:pPr>
      <w:r>
        <w:rPr>
          <w:rFonts w:ascii="Consolas" w:hAnsi="Consolas"/>
          <w:sz w:val="17"/>
        </w:rPr>
        <w:t>Location raw result</w:t>
        <w:br/>
        <w:t xml:space="preserve">      ↓</w:t>
        <w:br/>
        <w:t>LocShieldEnforcementAdapter</w:t>
        <w:br/>
        <w:t xml:space="preserve">      ↓</w:t>
        <w:br/>
        <w:t>PolicyEngine.evaluate()</w:t>
        <w:br/>
        <w:t xml:space="preserve">      ↓</w:t>
        <w:br/>
        <w:t>PolicyDecision</w:t>
        <w:br/>
        <w:t xml:space="preserve">  ├── DENY</w:t>
        <w:br/>
        <w:t xml:space="preserve">  ├── ALLOW</w:t>
        <w:br/>
        <w:t xml:space="preserve">  ├── TRANSFORM</w:t>
        <w:br/>
        <w:t xml:space="preserve">  └── THROTTLE</w:t>
        <w:br/>
        <w:t xml:space="preserve">      ↓</w:t>
        <w:br/>
        <w:t>TransformationEngine</w:t>
        <w:br/>
        <w:t xml:space="preserve">      ↓</w:t>
        <w:br/>
        <w:t>MetadataSanitizer</w:t>
        <w:br/>
        <w:t xml:space="preserve">      ↓</w:t>
        <w:br/>
        <w:t>framework delivery</w:t>
      </w:r>
    </w:p>
    <w:p>
      <w:pPr>
        <w:pStyle w:val="Heading1"/>
      </w:pPr>
      <w:r>
        <w:t>17. Policy Evaluation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Input</w:t>
            </w:r>
          </w:p>
        </w:tc>
        <w:tc>
          <w:tcPr>
            <w:tcW w:type="dxa" w:w="4968"/>
          </w:tcPr>
          <w:p>
            <w:r>
              <w:t>Source</w:t>
            </w:r>
          </w:p>
        </w:tc>
      </w:tr>
      <w:tr>
        <w:tc>
          <w:tcPr>
            <w:tcW w:type="dxa" w:w="4968"/>
          </w:tcPr>
          <w:p>
            <w:r>
              <w:t>UID</w:t>
            </w:r>
          </w:p>
        </w:tc>
        <w:tc>
          <w:tcPr>
            <w:tcW w:type="dxa" w:w="4968"/>
          </w:tcPr>
          <w:p>
            <w:r>
              <w:t>Binder calling identity / trusted system context</w:t>
            </w:r>
          </w:p>
        </w:tc>
      </w:tr>
      <w:tr>
        <w:tc>
          <w:tcPr>
            <w:tcW w:type="dxa" w:w="4968"/>
          </w:tcPr>
          <w:p>
            <w:r>
              <w:t>Package</w:t>
            </w:r>
          </w:p>
        </w:tc>
        <w:tc>
          <w:tcPr>
            <w:tcW w:type="dxa" w:w="4968"/>
          </w:tcPr>
          <w:p>
            <w:r>
              <w:t>Framework-validated package</w:t>
            </w:r>
          </w:p>
        </w:tc>
      </w:tr>
      <w:tr>
        <w:tc>
          <w:tcPr>
            <w:tcW w:type="dxa" w:w="4968"/>
          </w:tcPr>
          <w:p>
            <w:r>
              <w:t>Feature / listener identity</w:t>
            </w:r>
          </w:p>
        </w:tc>
        <w:tc>
          <w:tcPr>
            <w:tcW w:type="dxa" w:w="4968"/>
          </w:tcPr>
          <w:p>
            <w:r>
              <w:t>Framework attribution context where available</w:t>
            </w:r>
          </w:p>
        </w:tc>
      </w:tr>
      <w:tr>
        <w:tc>
          <w:tcPr>
            <w:tcW w:type="dxa" w:w="4968"/>
          </w:tcPr>
          <w:p>
            <w:r>
              <w:t>Permission state</w:t>
            </w:r>
          </w:p>
        </w:tc>
        <w:tc>
          <w:tcPr>
            <w:tcW w:type="dxa" w:w="4968"/>
          </w:tcPr>
          <w:p>
            <w:r>
              <w:t>Android permission/AppOps state</w:t>
            </w:r>
          </w:p>
        </w:tc>
      </w:tr>
      <w:tr>
        <w:tc>
          <w:tcPr>
            <w:tcW w:type="dxa" w:w="4968"/>
          </w:tcPr>
          <w:p>
            <w:r>
              <w:t>Foreground/background state</w:t>
            </w:r>
          </w:p>
        </w:tc>
        <w:tc>
          <w:tcPr>
            <w:tcW w:type="dxa" w:w="4968"/>
          </w:tcPr>
          <w:p>
            <w:r>
              <w:t>Framework process/app state</w:t>
            </w:r>
          </w:p>
        </w:tc>
      </w:tr>
      <w:tr>
        <w:tc>
          <w:tcPr>
            <w:tcW w:type="dxa" w:w="4968"/>
          </w:tcPr>
          <w:p>
            <w:r>
              <w:t>Requested capability</w:t>
            </w:r>
          </w:p>
        </w:tc>
        <w:tc>
          <w:tcPr>
            <w:tcW w:type="dxa" w:w="4968"/>
          </w:tcPr>
          <w:p>
            <w:r>
              <w:t>Location request/geofence/etc.</w:t>
            </w:r>
          </w:p>
        </w:tc>
      </w:tr>
      <w:tr>
        <w:tc>
          <w:tcPr>
            <w:tcW w:type="dxa" w:w="4968"/>
          </w:tcPr>
          <w:p>
            <w:r>
              <w:t>Current location</w:t>
            </w:r>
          </w:p>
        </w:tc>
        <w:tc>
          <w:tcPr>
            <w:tcW w:type="dxa" w:w="4968"/>
          </w:tcPr>
          <w:p>
            <w:r>
              <w:t>Provider result</w:t>
            </w:r>
          </w:p>
        </w:tc>
      </w:tr>
      <w:tr>
        <w:tc>
          <w:tcPr>
            <w:tcW w:type="dxa" w:w="4968"/>
          </w:tcPr>
          <w:p>
            <w:r>
              <w:t>Current time</w:t>
            </w:r>
          </w:p>
        </w:tc>
        <w:tc>
          <w:tcPr>
            <w:tcW w:type="dxa" w:w="4968"/>
          </w:tcPr>
          <w:p>
            <w:r>
              <w:t>System clock</w:t>
            </w:r>
          </w:p>
        </w:tc>
      </w:tr>
      <w:tr>
        <w:tc>
          <w:tcPr>
            <w:tcW w:type="dxa" w:w="4968"/>
          </w:tcPr>
          <w:p>
            <w:r>
              <w:t>Stored policy</w:t>
            </w:r>
          </w:p>
        </w:tc>
        <w:tc>
          <w:tcPr>
            <w:tcW w:type="dxa" w:w="4968"/>
          </w:tcPr>
          <w:p>
            <w:r>
              <w:t>LocShield system policy store</w:t>
            </w:r>
          </w:p>
        </w:tc>
      </w:tr>
    </w:tbl>
    <w:p>
      <w:pPr>
        <w:pStyle w:val="Heading1"/>
      </w:pPr>
      <w:r>
        <w:t>18. Policy Output</w:t>
      </w:r>
    </w:p>
    <w:p>
      <w:pPr>
        <w:ind w:left="288"/>
      </w:pPr>
      <w:r>
        <w:rPr>
          <w:rFonts w:ascii="Consolas" w:hAnsi="Consolas"/>
          <w:sz w:val="17"/>
        </w:rPr>
        <w:t>PolicyDecision {</w:t>
        <w:br/>
        <w:t xml:space="preserve">  action</w:t>
        <w:br/>
        <w:t xml:space="preserve">  spatialLevel</w:t>
        <w:br/>
        <w:t xml:space="preserve">  radiusMeters</w:t>
        <w:br/>
        <w:t xml:space="preserve">  temporalMode</w:t>
        <w:br/>
        <w:t xml:space="preserve">  minimumIntervalMs</w:t>
        <w:br/>
        <w:t xml:space="preserve">  backgroundMode</w:t>
        <w:br/>
        <w:t xml:space="preserve">  randomizationMode</w:t>
        <w:br/>
        <w:t xml:space="preserve">  metadataMode</w:t>
        <w:br/>
        <w:t xml:space="preserve">  expiration</w:t>
        <w:br/>
        <w:t xml:space="preserve">  reasonCode</w:t>
        <w:br/>
        <w:t>}</w:t>
      </w:r>
    </w:p>
    <w:p>
      <w:r>
        <w:rPr>
          <w:b w:val="0"/>
        </w:rPr>
        <w:t>The exact schema should be frozen after the API/AIDL design review.</w:t>
      </w:r>
    </w:p>
    <w:p>
      <w:pPr>
        <w:pStyle w:val="Heading1"/>
      </w:pPr>
      <w:r>
        <w:t>19. Transformation Semantics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Mode</w:t>
            </w:r>
          </w:p>
        </w:tc>
        <w:tc>
          <w:tcPr>
            <w:tcW w:type="dxa" w:w="4968"/>
          </w:tcPr>
          <w:p>
            <w:r>
              <w:t>Example</w:t>
            </w:r>
          </w:p>
        </w:tc>
      </w:tr>
      <w:tr>
        <w:tc>
          <w:tcPr>
            <w:tcW w:type="dxa" w:w="4968"/>
          </w:tcPr>
          <w:p>
            <w:r>
              <w:t>EXACT</w:t>
            </w:r>
          </w:p>
        </w:tc>
        <w:tc>
          <w:tcPr>
            <w:tcW w:type="dxa" w:w="4968"/>
          </w:tcPr>
          <w:p>
            <w:r>
              <w:t>Original coordinate subject to Android authorization.</w:t>
            </w:r>
          </w:p>
        </w:tc>
      </w:tr>
      <w:tr>
        <w:tc>
          <w:tcPr>
            <w:tcW w:type="dxa" w:w="4968"/>
          </w:tcPr>
          <w:p>
            <w:r>
              <w:t>CITY</w:t>
            </w:r>
          </w:p>
        </w:tc>
        <w:tc>
          <w:tcPr>
            <w:tcW w:type="dxa" w:w="4968"/>
          </w:tcPr>
          <w:p>
            <w:r>
              <w:t>Coordinate transformed to a city-level representation.</w:t>
            </w:r>
          </w:p>
        </w:tc>
      </w:tr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Coordinate reduced to a configured radius/grid.</w:t>
            </w:r>
          </w:p>
        </w:tc>
      </w:tr>
      <w:tr>
        <w:tc>
          <w:tcPr>
            <w:tcW w:type="dxa" w:w="4968"/>
          </w:tcPr>
          <w:p>
            <w:r>
              <w:t>RANDOMIZED</w:t>
            </w:r>
          </w:p>
        </w:tc>
        <w:tc>
          <w:tcPr>
            <w:tcW w:type="dxa" w:w="4968"/>
          </w:tcPr>
          <w:p>
            <w:r>
              <w:t>Coordinate perturbed within a defined privacy bound.</w:t>
            </w:r>
          </w:p>
        </w:tc>
      </w:tr>
      <w:tr>
        <w:tc>
          <w:tcPr>
            <w:tcW w:type="dxa" w:w="4968"/>
          </w:tcPr>
          <w:p>
            <w:r>
              <w:t>DENY</w:t>
            </w:r>
          </w:p>
        </w:tc>
        <w:tc>
          <w:tcPr>
            <w:tcW w:type="dxa" w:w="4968"/>
          </w:tcPr>
          <w:p>
            <w:r>
              <w:t>No location result delivered.</w:t>
            </w:r>
          </w:p>
        </w:tc>
      </w:tr>
      <w:tr>
        <w:tc>
          <w:tcPr>
            <w:tcW w:type="dxa" w:w="4968"/>
          </w:tcPr>
          <w:p>
            <w:r>
              <w:t>THROTTLED</w:t>
            </w:r>
          </w:p>
        </w:tc>
        <w:tc>
          <w:tcPr>
            <w:tcW w:type="dxa" w:w="4968"/>
          </w:tcPr>
          <w:p>
            <w:r>
              <w:t>Delivery suppressed until interval policy allows it.</w:t>
            </w:r>
          </w:p>
        </w:tc>
      </w:tr>
    </w:tbl>
    <w:p>
      <w:r>
        <w:rPr>
          <w:b w:val="0"/>
        </w:rPr>
        <w:t>The transformation algorithm must be deterministic enough for reproducible testing but must not expose more precision through metadata than the policy permits.</w:t>
      </w:r>
    </w:p>
    <w:p>
      <w:pPr>
        <w:pStyle w:val="Heading1"/>
      </w:pPr>
      <w:r>
        <w:t>20. Important Metadata Problem</w:t>
      </w:r>
    </w:p>
    <w:p>
      <w:r>
        <w:rPr>
          <w:b w:val="0"/>
        </w:rPr>
        <w:t>A transformed coordinate can still leak precise information if its accuracy, timestamp, speed, bearing, or other metadata remains precise. LocShield therefore treats the Location object as a compound privacy object.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Policy concern</w:t>
            </w:r>
          </w:p>
        </w:tc>
      </w:tr>
      <w:tr>
        <w:tc>
          <w:tcPr>
            <w:tcW w:type="dxa" w:w="4968"/>
          </w:tcPr>
          <w:p>
            <w:r>
              <w:t>latitude/longitude</w:t>
            </w:r>
          </w:p>
        </w:tc>
        <w:tc>
          <w:tcPr>
            <w:tcW w:type="dxa" w:w="4968"/>
          </w:tcPr>
          <w:p>
            <w:r>
              <w:t>Primary spatial precision</w:t>
            </w:r>
          </w:p>
        </w:tc>
      </w:tr>
      <w:tr>
        <w:tc>
          <w:tcPr>
            <w:tcW w:type="dxa" w:w="4968"/>
          </w:tcPr>
          <w:p>
            <w:r>
              <w:t>accuracy</w:t>
            </w:r>
          </w:p>
        </w:tc>
        <w:tc>
          <w:tcPr>
            <w:tcW w:type="dxa" w:w="4968"/>
          </w:tcPr>
          <w:p>
            <w:r>
              <w:t>Can contradict coarse coordinate</w:t>
            </w:r>
          </w:p>
        </w:tc>
      </w:tr>
      <w:tr>
        <w:tc>
          <w:tcPr>
            <w:tcW w:type="dxa" w:w="4968"/>
          </w:tcPr>
          <w:p>
            <w:r>
              <w:t>timestamp</w:t>
            </w:r>
          </w:p>
        </w:tc>
        <w:tc>
          <w:tcPr>
            <w:tcW w:type="dxa" w:w="4968"/>
          </w:tcPr>
          <w:p>
            <w:r>
              <w:t>Can reveal movement/time correlation</w:t>
            </w:r>
          </w:p>
        </w:tc>
      </w:tr>
      <w:tr>
        <w:tc>
          <w:tcPr>
            <w:tcW w:type="dxa" w:w="4968"/>
          </w:tcPr>
          <w:p>
            <w:r>
              <w:t>elapsedRealtime</w:t>
            </w:r>
          </w:p>
        </w:tc>
        <w:tc>
          <w:tcPr>
            <w:tcW w:type="dxa" w:w="4968"/>
          </w:tcPr>
          <w:p>
            <w:r>
              <w:t>Can support correlation</w:t>
            </w:r>
          </w:p>
        </w:tc>
      </w:tr>
      <w:tr>
        <w:tc>
          <w:tcPr>
            <w:tcW w:type="dxa" w:w="4968"/>
          </w:tcPr>
          <w:p>
            <w:r>
              <w:t>speed/bearing</w:t>
            </w:r>
          </w:p>
        </w:tc>
        <w:tc>
          <w:tcPr>
            <w:tcW w:type="dxa" w:w="4968"/>
          </w:tcPr>
          <w:p>
            <w:r>
              <w:t>Can reveal movement</w:t>
            </w:r>
          </w:p>
        </w:tc>
      </w:tr>
      <w:tr>
        <w:tc>
          <w:tcPr>
            <w:tcW w:type="dxa" w:w="4968"/>
          </w:tcPr>
          <w:p>
            <w:r>
              <w:t>altitude</w:t>
            </w:r>
          </w:p>
        </w:tc>
        <w:tc>
          <w:tcPr>
            <w:tcW w:type="dxa" w:w="4968"/>
          </w:tcPr>
          <w:p>
            <w:r>
              <w:t>Can reveal vertical position</w:t>
            </w:r>
          </w:p>
        </w:tc>
      </w:tr>
      <w:tr>
        <w:tc>
          <w:tcPr>
            <w:tcW w:type="dxa" w:w="4968"/>
          </w:tcPr>
          <w:p>
            <w:r>
              <w:t>provider</w:t>
            </w:r>
          </w:p>
        </w:tc>
        <w:tc>
          <w:tcPr>
            <w:tcW w:type="dxa" w:w="4968"/>
          </w:tcPr>
          <w:p>
            <w:r>
              <w:t>Can reveal source characteristics</w:t>
            </w:r>
          </w:p>
        </w:tc>
      </w:tr>
      <w:tr>
        <w:tc>
          <w:tcPr>
            <w:tcW w:type="dxa" w:w="4968"/>
          </w:tcPr>
          <w:p>
            <w:r>
              <w:t>extras</w:t>
            </w:r>
          </w:p>
        </w:tc>
        <w:tc>
          <w:tcPr>
            <w:tcW w:type="dxa" w:w="4968"/>
          </w:tcPr>
          <w:p>
            <w:r>
              <w:t>Potential hidden location-bearing data</w:t>
            </w:r>
          </w:p>
        </w:tc>
      </w:tr>
    </w:tbl>
    <w:p>
      <w:pPr>
        <w:pStyle w:val="Heading1"/>
      </w:pPr>
      <w:r>
        <w:t>21. Bypass Tests Required</w:t>
      </w:r>
    </w:p>
    <w:p>
      <w:pPr>
        <w:pStyle w:val="ListNumber"/>
      </w:pPr>
      <w:r>
        <w:t>Active LocationManager request.</w:t>
      </w:r>
    </w:p>
    <w:p>
      <w:pPr>
        <w:pStyle w:val="ListNumber"/>
      </w:pPr>
      <w:r>
        <w:t>Current/one-shot location.</w:t>
      </w:r>
    </w:p>
    <w:p>
      <w:pPr>
        <w:pStyle w:val="ListNumber"/>
      </w:pPr>
      <w:r>
        <w:t>Last-known location.</w:t>
      </w:r>
    </w:p>
    <w:p>
      <w:pPr>
        <w:pStyle w:val="ListNumber"/>
      </w:pPr>
      <w:r>
        <w:t>Passive provider.</w:t>
      </w:r>
    </w:p>
    <w:p>
      <w:pPr>
        <w:pStyle w:val="ListNumber"/>
      </w:pPr>
      <w:r>
        <w:t>Listener callback.</w:t>
      </w:r>
    </w:p>
    <w:p>
      <w:pPr>
        <w:pStyle w:val="ListNumber"/>
      </w:pPr>
      <w:r>
        <w:t>PendingIntent delivery.</w:t>
      </w:r>
    </w:p>
    <w:p>
      <w:pPr>
        <w:pStyle w:val="ListNumber"/>
      </w:pPr>
      <w:r>
        <w:t>Geofence registration and transition.</w:t>
      </w:r>
    </w:p>
    <w:p>
      <w:pPr>
        <w:pStyle w:val="ListNumber"/>
      </w:pPr>
      <w:r>
        <w:t>GNSS status.</w:t>
      </w:r>
    </w:p>
    <w:p>
      <w:pPr>
        <w:pStyle w:val="ListNumber"/>
      </w:pPr>
      <w:r>
        <w:t>GNSS measurements.</w:t>
      </w:r>
    </w:p>
    <w:p>
      <w:pPr>
        <w:pStyle w:val="ListNumber"/>
      </w:pPr>
      <w:r>
        <w:t>GNSS navigation messages.</w:t>
      </w:r>
    </w:p>
    <w:p>
      <w:pPr>
        <w:pStyle w:val="ListNumber"/>
      </w:pPr>
      <w:r>
        <w:t>NMEA.</w:t>
      </w:r>
    </w:p>
    <w:p>
      <w:pPr>
        <w:pStyle w:val="ListNumber"/>
      </w:pPr>
      <w:r>
        <w:t>GMS fused location.</w:t>
      </w:r>
    </w:p>
    <w:p>
      <w:pPr>
        <w:pStyle w:val="ListNumber"/>
      </w:pPr>
      <w:r>
        <w:t>GMS last location.</w:t>
      </w:r>
    </w:p>
    <w:p>
      <w:pPr>
        <w:pStyle w:val="ListNumber"/>
      </w:pPr>
      <w:r>
        <w:t>GMS geofence.</w:t>
      </w:r>
    </w:p>
    <w:p>
      <w:pPr>
        <w:pStyle w:val="ListNumber"/>
      </w:pPr>
      <w:r>
        <w:t>Wi-Fi/Bluetooth/cell side-channel capabilities.</w:t>
      </w:r>
    </w:p>
    <w:p>
      <w:pPr>
        <w:pStyle w:val="Heading1"/>
      </w:pPr>
      <w:r>
        <w:t>22. Threat Model 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Threat</w:t>
            </w:r>
          </w:p>
        </w:tc>
        <w:tc>
          <w:tcPr>
            <w:tcW w:type="dxa" w:w="4968"/>
          </w:tcPr>
          <w:p>
            <w:r>
              <w:t>LocShield response</w:t>
            </w:r>
          </w:p>
        </w:tc>
      </w:tr>
      <w:tr>
        <w:tc>
          <w:tcPr>
            <w:tcW w:type="dxa" w:w="4968"/>
          </w:tcPr>
          <w:p>
            <w:r>
              <w:t>Malicious app changes requested precision</w:t>
            </w:r>
          </w:p>
        </w:tc>
        <w:tc>
          <w:tcPr>
            <w:tcW w:type="dxa" w:w="4968"/>
          </w:tcPr>
          <w:p>
            <w:r>
              <w:t>Policy evaluated independently.</w:t>
            </w:r>
          </w:p>
        </w:tc>
      </w:tr>
      <w:tr>
        <w:tc>
          <w:tcPr>
            <w:tcW w:type="dxa" w:w="4968"/>
          </w:tcPr>
          <w:p>
            <w:r>
              <w:t>App requests high frequency</w:t>
            </w:r>
          </w:p>
        </w:tc>
        <w:tc>
          <w:tcPr>
            <w:tcW w:type="dxa" w:w="4968"/>
          </w:tcPr>
          <w:p>
            <w:r>
              <w:t>Temporal policy controls delivery.</w:t>
            </w:r>
          </w:p>
        </w:tc>
      </w:tr>
      <w:tr>
        <w:tc>
          <w:tcPr>
            <w:tcW w:type="dxa" w:w="4968"/>
          </w:tcPr>
          <w:p>
            <w:r>
              <w:t>App uses passive location</w:t>
            </w:r>
          </w:p>
        </w:tc>
        <w:tc>
          <w:tcPr>
            <w:tcW w:type="dxa" w:w="4968"/>
          </w:tcPr>
          <w:p>
            <w:r>
              <w:t>Separate passive enforcement.</w:t>
            </w:r>
          </w:p>
        </w:tc>
      </w:tr>
      <w:tr>
        <w:tc>
          <w:tcPr>
            <w:tcW w:type="dxa" w:w="4968"/>
          </w:tcPr>
          <w:p>
            <w:r>
              <w:t>App reads cached precise value</w:t>
            </w:r>
          </w:p>
        </w:tc>
        <w:tc>
          <w:tcPr>
            <w:tcW w:type="dxa" w:w="4968"/>
          </w:tcPr>
          <w:p>
            <w:r>
              <w:t>Current-policy cache gate.</w:t>
            </w:r>
          </w:p>
        </w:tc>
      </w:tr>
      <w:tr>
        <w:tc>
          <w:tcPr>
            <w:tcW w:type="dxa" w:w="4968"/>
          </w:tcPr>
          <w:p>
            <w:r>
              <w:t>App uses geofence instead of coordinates</w:t>
            </w:r>
          </w:p>
        </w:tc>
        <w:tc>
          <w:tcPr>
            <w:tcW w:type="dxa" w:w="4968"/>
          </w:tcPr>
          <w:p>
            <w:r>
              <w:t>Geofence policy gate.</w:t>
            </w:r>
          </w:p>
        </w:tc>
      </w:tr>
      <w:tr>
        <w:tc>
          <w:tcPr>
            <w:tcW w:type="dxa" w:w="4968"/>
          </w:tcPr>
          <w:p>
            <w:r>
              <w:t>App uses GNSS measurements</w:t>
            </w:r>
          </w:p>
        </w:tc>
        <w:tc>
          <w:tcPr>
            <w:tcW w:type="dxa" w:w="4968"/>
          </w:tcPr>
          <w:p>
            <w:r>
              <w:t>Separate side-channel boundary.</w:t>
            </w:r>
          </w:p>
        </w:tc>
      </w:tr>
      <w:tr>
        <w:tc>
          <w:tcPr>
            <w:tcW w:type="dxa" w:w="4968"/>
          </w:tcPr>
          <w:p>
            <w:r>
              <w:t>App uses GMS fused APIs</w:t>
            </w:r>
          </w:p>
        </w:tc>
        <w:tc>
          <w:tcPr>
            <w:tcW w:type="dxa" w:w="4968"/>
          </w:tcPr>
          <w:p>
            <w:r>
              <w:t>Independent GMS validation.</w:t>
            </w:r>
          </w:p>
        </w:tc>
      </w:tr>
      <w:tr>
        <w:tc>
          <w:tcPr>
            <w:tcW w:type="dxa" w:w="4968"/>
          </w:tcPr>
          <w:p>
            <w:r>
              <w:t>App relies on metadata</w:t>
            </w:r>
          </w:p>
        </w:tc>
        <w:tc>
          <w:tcPr>
            <w:tcW w:type="dxa" w:w="4968"/>
          </w:tcPr>
          <w:p>
            <w:r>
              <w:t>Metadata sanitization.</w:t>
            </w:r>
          </w:p>
        </w:tc>
      </w:tr>
      <w:tr>
        <w:tc>
          <w:tcPr>
            <w:tcW w:type="dxa" w:w="4968"/>
          </w:tcPr>
          <w:p>
            <w:r>
              <w:t>App attempts Binder identity spoofing</w:t>
            </w:r>
          </w:p>
        </w:tc>
        <w:tc>
          <w:tcPr>
            <w:tcW w:type="dxa" w:w="4968"/>
          </w:tcPr>
          <w:p>
            <w:r>
              <w:t>Use trusted Binder/system identity.</w:t>
            </w:r>
          </w:p>
        </w:tc>
      </w:tr>
    </w:tbl>
    <w:p>
      <w:pPr>
        <w:pStyle w:val="Heading1"/>
      </w:pPr>
      <w:r>
        <w:t>23. What This Trace Changes</w:t>
      </w:r>
    </w:p>
    <w:p>
      <w:r>
        <w:rPr>
          <w:b w:val="0"/>
        </w:rPr>
        <w:t>The source-level research strengthens the original architecture in four ways:</w:t>
      </w:r>
    </w:p>
    <w:p>
      <w:pPr>
        <w:pStyle w:val="ListBullet"/>
      </w:pPr>
      <w:r>
        <w:t>The system service remains the correct control-plane authority.</w:t>
      </w:r>
    </w:p>
    <w:p>
      <w:pPr>
        <w:pStyle w:val="ListBullet"/>
      </w:pPr>
      <w:r>
        <w:t>Policy must be attached to delivery receivers, not only requests.</w:t>
      </w:r>
    </w:p>
    <w:p>
      <w:pPr>
        <w:pStyle w:val="ListBullet"/>
      </w:pPr>
      <w:r>
        <w:t>Passive and geofence paths must be first-class policy targets.</w:t>
      </w:r>
    </w:p>
    <w:p>
      <w:pPr>
        <w:pStyle w:val="ListBullet"/>
      </w:pPr>
      <w:r>
        <w:t>GNSS and GMS must be treated as separate enforcement boundaries rather than assumed to inherit one LocationManagerService hook.</w:t>
      </w:r>
    </w:p>
    <w:p>
      <w:pPr>
        <w:pStyle w:val="Heading1"/>
      </w:pPr>
      <w:r>
        <w:t>24. What Is Not Yet Proven</w:t>
      </w:r>
    </w:p>
    <w:p>
      <w:pPr>
        <w:pStyle w:val="ListBullet"/>
      </w:pPr>
      <w:r>
        <w:t>That one hook in LocationManagerService covers every framework location result.</w:t>
      </w:r>
    </w:p>
    <w:p>
      <w:pPr>
        <w:pStyle w:val="ListBullet"/>
      </w:pPr>
      <w:r>
        <w:t>That all GMS fused results cross a LocShield-controlled AOSP delivery point.</w:t>
      </w:r>
    </w:p>
    <w:p>
      <w:pPr>
        <w:pStyle w:val="ListBullet"/>
      </w:pPr>
      <w:r>
        <w:t>That GNSS side channels can be completely blocked without broader framework changes.</w:t>
      </w:r>
    </w:p>
    <w:p>
      <w:pPr>
        <w:pStyle w:val="ListBullet"/>
      </w:pPr>
      <w:r>
        <w:t>That Wi-Fi/Bluetooth/cellular observations cannot independently infer location.</w:t>
      </w:r>
    </w:p>
    <w:p>
      <w:pPr>
        <w:pStyle w:val="ListBullet"/>
      </w:pPr>
      <w:r>
        <w:t>That one source revision represents every OEM Android build.</w:t>
      </w:r>
    </w:p>
    <w:p>
      <w:pPr>
        <w:pStyle w:val="ListBullet"/>
      </w:pPr>
      <w:r>
        <w:t>That a prototype hook is equivalent to a production AOSP security boundary.</w:t>
      </w:r>
    </w:p>
    <w:p>
      <w:pPr>
        <w:pStyle w:val="Heading1"/>
      </w:pPr>
      <w:r>
        <w:t>25. Implementation Decision —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Decision</w:t>
            </w:r>
          </w:p>
        </w:tc>
        <w:tc>
          <w:tcPr>
            <w:tcW w:type="dxa" w:w="4968"/>
          </w:tcPr>
          <w:p>
            <w:r>
              <w:t>Status</w:t>
            </w:r>
          </w:p>
        </w:tc>
      </w:tr>
      <w:tr>
        <w:tc>
          <w:tcPr>
            <w:tcW w:type="dxa" w:w="4968"/>
          </w:tcPr>
          <w:p>
            <w:r>
              <w:t>Control APK + privileged system service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Policy engine as independent module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LocationManagerService as primary investigation/integration point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Delivery-time enforcement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Passive + cache + geofence explicit handling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GNSS separate boundary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GMS separate boundary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Exact source modifications</w:t>
            </w:r>
          </w:p>
        </w:tc>
        <w:tc>
          <w:tcPr>
            <w:tcW w:type="dxa" w:w="4968"/>
          </w:tcPr>
          <w:p>
            <w:r>
              <w:t>NOT YET FROZEN</w:t>
            </w:r>
          </w:p>
        </w:tc>
      </w:tr>
      <w:tr>
        <w:tc>
          <w:tcPr>
            <w:tcW w:type="dxa" w:w="4968"/>
          </w:tcPr>
          <w:p>
            <w:r>
              <w:t>AIDL contracts</w:t>
            </w:r>
          </w:p>
        </w:tc>
        <w:tc>
          <w:tcPr>
            <w:tcW w:type="dxa" w:w="4968"/>
          </w:tcPr>
          <w:p>
            <w:r>
              <w:t>NEXT</w:t>
            </w:r>
          </w:p>
        </w:tc>
      </w:tr>
      <w:tr>
        <w:tc>
          <w:tcPr>
            <w:tcW w:type="dxa" w:w="4968"/>
          </w:tcPr>
          <w:p>
            <w:r>
              <w:t>Prototype scope</w:t>
            </w:r>
          </w:p>
        </w:tc>
        <w:tc>
          <w:tcPr>
            <w:tcW w:type="dxa" w:w="4968"/>
          </w:tcPr>
          <w:p>
            <w:r>
              <w:t>NEXT</w:t>
            </w:r>
          </w:p>
        </w:tc>
      </w:tr>
    </w:tbl>
    <w:p>
      <w:pPr>
        <w:pStyle w:val="Heading1"/>
      </w:pPr>
      <w:r>
        <w:t>26. Next Document</w:t>
      </w:r>
    </w:p>
    <w:p>
      <w:r>
        <w:rPr>
          <w:b w:val="0"/>
        </w:rPr>
        <w:t>The next artifact should be **Document 11 — LocShield AIDL &amp; Internal API Specification v1**. It will freeze the contracts between Control APK → LocShield system service → Policy Engine → enforcement adapters, including Binder interfaces, request/response objects, policy structures, versioning, error handling, permissions, and trust boundaries.</w:t>
      </w:r>
    </w:p>
    <w:p>
      <w:r>
        <w:rPr>
          <w:b w:val="0"/>
        </w:rPr>
        <w:t>Only after that contract is frozen should we build the Policy Engine prototype.</w:t>
      </w:r>
    </w:p>
    <w:p>
      <w:pPr>
        <w:pStyle w:val="Heading1"/>
      </w:pPr>
      <w:r>
        <w:t>27. Primary Source References</w:t>
      </w:r>
    </w:p>
    <w:p>
      <w:r>
        <w:rPr>
          <w:b w:val="0"/>
        </w:rPr>
        <w:t>AOSP LocationManagerService — https://android.googlesource.com/platform/frameworks/base/+/master/services/core/java/com/android/server/location/LocationManagerService.java</w:t>
      </w:r>
    </w:p>
    <w:p>
      <w:r>
        <w:rPr>
          <w:b w:val="0"/>
        </w:rPr>
        <w:t>AOSP location service tree — https://android.googlesource.com/platform/frameworks/base/+/master/services/core/java/com/android/server/location</w:t>
      </w:r>
    </w:p>
    <w:p>
      <w:r>
        <w:rPr>
          <w:b w:val="0"/>
        </w:rPr>
        <w:t>AOSP fused location service manifest — https://android.googlesource.com/platform/frameworks/base/+/master/packages/FusedLocation/AndroidManifest.xml</w:t>
      </w:r>
    </w:p>
    <w:p>
      <w:pPr>
        <w:pStyle w:val="Heading1"/>
      </w:pPr>
      <w:r>
        <w:t>28.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Version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1.0</w:t>
            </w:r>
          </w:p>
        </w:tc>
        <w:tc>
          <w:tcPr>
            <w:tcW w:type="dxa" w:w="3312"/>
          </w:tcPr>
          <w:p>
            <w:r>
              <w:t>2026-09-28</w:t>
            </w:r>
          </w:p>
        </w:tc>
        <w:tc>
          <w:tcPr>
            <w:tcW w:type="dxa" w:w="3312"/>
          </w:tcPr>
          <w:p>
            <w:r>
              <w:t>Initial source-level enforcement path trace for LocShield.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LocShield — Source-Level Enforcement Path Trace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